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D1109" w14:textId="35EDD63A" w:rsidR="008D5571" w:rsidRPr="007B378C" w:rsidRDefault="008D5571" w:rsidP="008D5571">
      <w:pPr>
        <w:tabs>
          <w:tab w:val="center" w:pos="4536"/>
          <w:tab w:val="right" w:pos="7938"/>
          <w:tab w:val="right" w:pos="9639"/>
        </w:tabs>
        <w:ind w:right="2"/>
        <w:rPr>
          <w:b/>
          <w:bCs/>
          <w:sz w:val="28"/>
        </w:rPr>
      </w:pPr>
      <w:r w:rsidRPr="005A0AA2">
        <w:rPr>
          <w:b/>
          <w:bCs/>
          <w:sz w:val="28"/>
        </w:rPr>
        <w:t>3GPP TSG RAN WG1 #11</w:t>
      </w:r>
      <w:r>
        <w:rPr>
          <w:b/>
          <w:bCs/>
          <w:sz w:val="28"/>
        </w:rPr>
        <w:t>6</w:t>
      </w:r>
      <w:r w:rsidRPr="005A0AA2">
        <w:rPr>
          <w:b/>
          <w:bCs/>
          <w:sz w:val="28"/>
        </w:rPr>
        <w:tab/>
      </w:r>
      <w:r w:rsidRPr="005A0AA2">
        <w:rPr>
          <w:b/>
          <w:bCs/>
          <w:sz w:val="28"/>
        </w:rPr>
        <w:tab/>
      </w:r>
      <w:r w:rsidRPr="005A0AA2">
        <w:rPr>
          <w:b/>
          <w:bCs/>
          <w:sz w:val="28"/>
        </w:rPr>
        <w:tab/>
      </w:r>
      <w:r w:rsidRPr="00C32C26">
        <w:rPr>
          <w:b/>
          <w:bCs/>
          <w:sz w:val="28"/>
        </w:rPr>
        <w:t>R1-240</w:t>
      </w:r>
      <w:r w:rsidR="00C32C26">
        <w:rPr>
          <w:b/>
          <w:bCs/>
          <w:sz w:val="28"/>
        </w:rPr>
        <w:t>0984</w:t>
      </w:r>
    </w:p>
    <w:p w14:paraId="2CFE1919" w14:textId="6C93BC76" w:rsidR="00850D96" w:rsidRPr="002F56CE" w:rsidRDefault="008D5571" w:rsidP="002F56CE">
      <w:pPr>
        <w:pStyle w:val="3GPPHeader"/>
        <w:rPr>
          <w:rFonts w:eastAsia="MS Mincho"/>
          <w:bCs/>
          <w:sz w:val="28"/>
          <w:lang w:val="en-GB" w:eastAsia="ja-JP"/>
        </w:rPr>
      </w:pPr>
      <w:r w:rsidRPr="002D2038">
        <w:rPr>
          <w:rFonts w:eastAsia="MS Mincho"/>
          <w:bCs/>
          <w:sz w:val="28"/>
          <w:lang w:val="en-GB" w:eastAsia="ja-JP"/>
        </w:rPr>
        <w:t>Athens, Greece, February 26</w:t>
      </w:r>
      <w:r w:rsidRPr="002D2038">
        <w:rPr>
          <w:rFonts w:eastAsia="MS Mincho" w:hint="eastAsia"/>
          <w:bCs/>
          <w:sz w:val="28"/>
          <w:vertAlign w:val="superscript"/>
          <w:lang w:val="en-GB" w:eastAsia="ja-JP"/>
        </w:rPr>
        <w:t>th</w:t>
      </w:r>
      <w:r w:rsidRPr="002D2038">
        <w:rPr>
          <w:rFonts w:eastAsia="MS Mincho"/>
          <w:bCs/>
          <w:sz w:val="28"/>
          <w:lang w:val="en-GB" w:eastAsia="ja-JP"/>
        </w:rPr>
        <w:t xml:space="preserve"> – March 1</w:t>
      </w:r>
      <w:r w:rsidRPr="002D2038">
        <w:rPr>
          <w:rFonts w:eastAsia="MS Mincho"/>
          <w:bCs/>
          <w:sz w:val="28"/>
          <w:vertAlign w:val="superscript"/>
          <w:lang w:val="en-GB" w:eastAsia="ja-JP"/>
        </w:rPr>
        <w:t>st</w:t>
      </w:r>
      <w:r w:rsidRPr="002D2038">
        <w:rPr>
          <w:rFonts w:eastAsia="MS Mincho"/>
          <w:bCs/>
          <w:sz w:val="28"/>
          <w:lang w:val="en-GB" w:eastAsia="ja-JP"/>
        </w:rPr>
        <w:t>, 2024</w:t>
      </w: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5A005376" w:rsidR="00390F36" w:rsidRPr="00CE30E7" w:rsidRDefault="00390F36" w:rsidP="00F73F67">
      <w:pPr>
        <w:pStyle w:val="3GPPHeader"/>
        <w:ind w:left="1700" w:hanging="1700"/>
        <w:jc w:val="both"/>
      </w:pPr>
      <w:r w:rsidRPr="00CE30E7">
        <w:t>Title:</w:t>
      </w:r>
      <w:r w:rsidRPr="00CE30E7">
        <w:tab/>
      </w:r>
      <w:r w:rsidRPr="007A0A4F">
        <w:t xml:space="preserve">Discussion on </w:t>
      </w:r>
      <w:r w:rsidR="00D75CFD">
        <w:t>RAN</w:t>
      </w:r>
      <w:r w:rsidR="00030A2A">
        <w:t>4</w:t>
      </w:r>
      <w:r w:rsidR="00D75CFD">
        <w:t xml:space="preserve"> </w:t>
      </w:r>
      <w:r w:rsidR="00D75CFD" w:rsidRPr="00D75CFD">
        <w:rPr>
          <w:lang w:val="en-GB"/>
        </w:rPr>
        <w:t xml:space="preserve">LS on </w:t>
      </w:r>
      <w:r w:rsidR="00F93B47">
        <w:rPr>
          <w:lang w:val="en-GB"/>
        </w:rPr>
        <w:t>Layer-1/2/3 ATG UE Features and Koffset Mechanism</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2C33FAEA" w14:textId="674D7D37" w:rsidR="008D5571" w:rsidRDefault="008E4BD2" w:rsidP="00601729">
      <w:pPr>
        <w:jc w:val="both"/>
        <w:rPr>
          <w:sz w:val="24"/>
          <w:szCs w:val="24"/>
        </w:rPr>
      </w:pPr>
      <w:r w:rsidRPr="00601729">
        <w:rPr>
          <w:sz w:val="24"/>
          <w:szCs w:val="24"/>
        </w:rPr>
        <w:t>RAN</w:t>
      </w:r>
      <w:r w:rsidR="00030A2A">
        <w:rPr>
          <w:sz w:val="24"/>
          <w:szCs w:val="24"/>
        </w:rPr>
        <w:t>4</w:t>
      </w:r>
      <w:r w:rsidRPr="00601729">
        <w:rPr>
          <w:sz w:val="24"/>
          <w:szCs w:val="24"/>
        </w:rPr>
        <w:t xml:space="preserve"> sent a</w:t>
      </w:r>
      <w:r w:rsidR="00583E50">
        <w:rPr>
          <w:sz w:val="24"/>
          <w:szCs w:val="24"/>
        </w:rPr>
        <w:t xml:space="preserve">n </w:t>
      </w:r>
      <w:r w:rsidRPr="00601729">
        <w:rPr>
          <w:sz w:val="24"/>
          <w:szCs w:val="24"/>
        </w:rPr>
        <w:t xml:space="preserve">LS on </w:t>
      </w:r>
      <w:r w:rsidR="00F93B47" w:rsidRPr="00F93B47">
        <w:rPr>
          <w:sz w:val="24"/>
          <w:szCs w:val="24"/>
        </w:rPr>
        <w:t xml:space="preserve">Layer-1/2/3 ATG UE Features and Koffset Mechanism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AD4347">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030A2A">
        <w:rPr>
          <w:sz w:val="24"/>
          <w:szCs w:val="24"/>
        </w:rPr>
        <w:t xml:space="preserve">RAN4 </w:t>
      </w:r>
      <w:r w:rsidR="00F93B47">
        <w:rPr>
          <w:sz w:val="24"/>
          <w:szCs w:val="24"/>
        </w:rPr>
        <w:t>requests RAN1 to introduce a list of Layer-1 new ATG UE features</w:t>
      </w:r>
      <w:r w:rsidR="00D75CFD">
        <w:rPr>
          <w:sz w:val="24"/>
          <w:szCs w:val="24"/>
        </w:rPr>
        <w:t>.</w:t>
      </w:r>
    </w:p>
    <w:p w14:paraId="7DF5F9CE" w14:textId="475FC90E" w:rsidR="007E2446" w:rsidRPr="005D2AE5" w:rsidRDefault="008E4BD2" w:rsidP="00601729">
      <w:pPr>
        <w:jc w:val="both"/>
        <w:rPr>
          <w:sz w:val="24"/>
          <w:szCs w:val="24"/>
          <w:lang w:eastAsia="x-none"/>
        </w:rPr>
      </w:pPr>
      <w:r w:rsidRPr="00601729">
        <w:rPr>
          <w:sz w:val="24"/>
          <w:szCs w:val="24"/>
          <w:lang w:eastAsia="x-none"/>
        </w:rPr>
        <w:t>In this c</w:t>
      </w:r>
      <w:r w:rsidR="00B956DF">
        <w:rPr>
          <w:sz w:val="24"/>
          <w:szCs w:val="24"/>
          <w:lang w:eastAsia="x-none"/>
        </w:rPr>
        <w:t>o</w:t>
      </w:r>
      <w:r w:rsidRPr="00601729">
        <w:rPr>
          <w:sz w:val="24"/>
          <w:szCs w:val="24"/>
          <w:lang w:eastAsia="x-none"/>
        </w:rPr>
        <w:t>ntribution, we discuss</w:t>
      </w:r>
      <w:r w:rsidR="00F93B47">
        <w:rPr>
          <w:sz w:val="24"/>
          <w:szCs w:val="24"/>
          <w:lang w:eastAsia="x-none"/>
        </w:rPr>
        <w:t xml:space="preserve"> to introduce a list of Layer-1 new ATG UE features. </w:t>
      </w:r>
      <w:r w:rsidR="00D75CFD">
        <w:rPr>
          <w:sz w:val="24"/>
          <w:szCs w:val="24"/>
          <w:lang w:eastAsia="x-none"/>
        </w:rPr>
        <w:t xml:space="preserve"> </w:t>
      </w:r>
    </w:p>
    <w:p w14:paraId="51806910" w14:textId="378813AA" w:rsidR="000E4945" w:rsidRDefault="00390F36" w:rsidP="000E4945">
      <w:pPr>
        <w:pStyle w:val="Heading1"/>
      </w:pPr>
      <w:r>
        <w:t>Discussion</w:t>
      </w:r>
    </w:p>
    <w:p w14:paraId="0D451790" w14:textId="4473E409" w:rsidR="00F93B47" w:rsidRDefault="00F93B47" w:rsidP="00AE572C">
      <w:pPr>
        <w:jc w:val="both"/>
        <w:rPr>
          <w:sz w:val="24"/>
          <w:szCs w:val="24"/>
        </w:rPr>
      </w:pPr>
      <w:r>
        <w:rPr>
          <w:sz w:val="24"/>
          <w:szCs w:val="24"/>
        </w:rPr>
        <w:t xml:space="preserve">In the LS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Pr>
          <w:sz w:val="24"/>
          <w:szCs w:val="24"/>
        </w:rPr>
        <w:t>[1]</w:t>
      </w:r>
      <w:r w:rsidRPr="00601729">
        <w:rPr>
          <w:sz w:val="24"/>
          <w:szCs w:val="24"/>
        </w:rPr>
        <w:fldChar w:fldCharType="end"/>
      </w:r>
      <w:r>
        <w:rPr>
          <w:sz w:val="24"/>
          <w:szCs w:val="24"/>
        </w:rPr>
        <w:t>, RAN4 request</w:t>
      </w:r>
      <w:r w:rsidR="004A120A">
        <w:rPr>
          <w:sz w:val="24"/>
          <w:szCs w:val="24"/>
        </w:rPr>
        <w:t>s</w:t>
      </w:r>
      <w:r>
        <w:rPr>
          <w:sz w:val="24"/>
          <w:szCs w:val="24"/>
        </w:rPr>
        <w:t xml:space="preserve"> RAN1 to introduce a list of Layer-1 new ATG UE features. This includes </w:t>
      </w:r>
    </w:p>
    <w:p w14:paraId="4A530F0F" w14:textId="77777777" w:rsidR="00F93B47" w:rsidRPr="00F93B47" w:rsidRDefault="00F93B47" w:rsidP="00AE572C">
      <w:pPr>
        <w:pStyle w:val="ListParagraph"/>
        <w:numPr>
          <w:ilvl w:val="0"/>
          <w:numId w:val="35"/>
        </w:numPr>
        <w:jc w:val="both"/>
        <w:rPr>
          <w:bCs/>
          <w:lang w:val="en-US" w:eastAsia="ko-KR"/>
        </w:rPr>
      </w:pPr>
      <w:proofErr w:type="spellStart"/>
      <w:r w:rsidRPr="00F93B47">
        <w:rPr>
          <w:color w:val="000000"/>
        </w:rPr>
        <w:t>Uplink</w:t>
      </w:r>
      <w:proofErr w:type="spellEnd"/>
      <w:r w:rsidRPr="00F93B47">
        <w:rPr>
          <w:color w:val="000000"/>
        </w:rPr>
        <w:t xml:space="preserve"> Time and </w:t>
      </w:r>
      <w:proofErr w:type="spellStart"/>
      <w:r w:rsidRPr="00F93B47">
        <w:rPr>
          <w:color w:val="000000"/>
        </w:rPr>
        <w:t>Frequency</w:t>
      </w:r>
      <w:proofErr w:type="spellEnd"/>
      <w:r w:rsidRPr="00F93B47">
        <w:rPr>
          <w:color w:val="000000"/>
        </w:rPr>
        <w:t xml:space="preserve"> </w:t>
      </w:r>
      <w:proofErr w:type="spellStart"/>
      <w:r w:rsidRPr="00F93B47">
        <w:rPr>
          <w:color w:val="000000"/>
        </w:rPr>
        <w:t>pre-compensation</w:t>
      </w:r>
      <w:proofErr w:type="spellEnd"/>
      <w:r w:rsidRPr="00F93B47">
        <w:rPr>
          <w:color w:val="000000"/>
        </w:rPr>
        <w:t xml:space="preserve"> and </w:t>
      </w:r>
      <w:proofErr w:type="spellStart"/>
      <w:r w:rsidRPr="00F93B47">
        <w:rPr>
          <w:color w:val="000000"/>
        </w:rPr>
        <w:t>timing</w:t>
      </w:r>
      <w:proofErr w:type="spellEnd"/>
      <w:r w:rsidRPr="00F93B47">
        <w:rPr>
          <w:color w:val="000000"/>
        </w:rPr>
        <w:t xml:space="preserve"> </w:t>
      </w:r>
      <w:proofErr w:type="spellStart"/>
      <w:r w:rsidRPr="00F93B47">
        <w:rPr>
          <w:color w:val="000000"/>
        </w:rPr>
        <w:t>relationship</w:t>
      </w:r>
      <w:proofErr w:type="spellEnd"/>
      <w:r w:rsidRPr="00F93B47">
        <w:rPr>
          <w:color w:val="000000"/>
        </w:rPr>
        <w:t xml:space="preserve"> </w:t>
      </w:r>
      <w:proofErr w:type="spellStart"/>
      <w:r w:rsidRPr="00F93B47">
        <w:rPr>
          <w:color w:val="000000"/>
        </w:rPr>
        <w:t>enhancements</w:t>
      </w:r>
      <w:proofErr w:type="spellEnd"/>
      <w:r w:rsidRPr="00F93B47">
        <w:rPr>
          <w:color w:val="000000"/>
        </w:rPr>
        <w:t xml:space="preserve"> </w:t>
      </w:r>
    </w:p>
    <w:p w14:paraId="431BF399" w14:textId="77777777" w:rsidR="00F93B47" w:rsidRDefault="00F93B47" w:rsidP="00F93B47">
      <w:pPr>
        <w:pStyle w:val="ListParagraph"/>
        <w:numPr>
          <w:ilvl w:val="0"/>
          <w:numId w:val="35"/>
        </w:numPr>
        <w:jc w:val="both"/>
        <w:rPr>
          <w:bCs/>
          <w:lang w:val="en-US" w:eastAsia="ko-KR"/>
        </w:rPr>
      </w:pPr>
      <w:r w:rsidRPr="00F93B47">
        <w:rPr>
          <w:color w:val="000000"/>
        </w:rPr>
        <w:t xml:space="preserve">UE </w:t>
      </w:r>
      <w:proofErr w:type="spellStart"/>
      <w:r w:rsidRPr="00F93B47">
        <w:rPr>
          <w:color w:val="000000"/>
        </w:rPr>
        <w:t>reporting</w:t>
      </w:r>
      <w:proofErr w:type="spellEnd"/>
      <w:r w:rsidRPr="00F93B47">
        <w:rPr>
          <w:color w:val="000000"/>
        </w:rPr>
        <w:t xml:space="preserve"> of TA </w:t>
      </w:r>
      <w:proofErr w:type="spellStart"/>
      <w:r w:rsidRPr="00F93B47">
        <w:rPr>
          <w:color w:val="000000"/>
        </w:rPr>
        <w:t>information</w:t>
      </w:r>
      <w:proofErr w:type="spellEnd"/>
      <w:r w:rsidRPr="00F93B47">
        <w:rPr>
          <w:bCs/>
          <w:lang w:val="en-US" w:eastAsia="ko-KR"/>
        </w:rPr>
        <w:t xml:space="preserve"> </w:t>
      </w:r>
    </w:p>
    <w:p w14:paraId="2A97C2A2" w14:textId="77777777" w:rsidR="00F93B47" w:rsidRPr="00F93B47" w:rsidRDefault="00F93B47" w:rsidP="00F93B47">
      <w:pPr>
        <w:pStyle w:val="ListParagraph"/>
        <w:numPr>
          <w:ilvl w:val="0"/>
          <w:numId w:val="35"/>
        </w:numPr>
        <w:jc w:val="both"/>
        <w:rPr>
          <w:bCs/>
          <w:lang w:val="en-US" w:eastAsia="ko-KR"/>
        </w:rPr>
      </w:pPr>
      <w:proofErr w:type="spellStart"/>
      <w:r w:rsidRPr="00F93B47">
        <w:rPr>
          <w:color w:val="000000"/>
        </w:rPr>
        <w:t>Increasing</w:t>
      </w:r>
      <w:proofErr w:type="spellEnd"/>
      <w:r w:rsidRPr="00F93B47">
        <w:rPr>
          <w:color w:val="000000"/>
        </w:rPr>
        <w:t xml:space="preserve"> </w:t>
      </w:r>
      <w:proofErr w:type="spellStart"/>
      <w:r w:rsidRPr="00F93B47">
        <w:rPr>
          <w:color w:val="000000"/>
        </w:rPr>
        <w:t>the</w:t>
      </w:r>
      <w:proofErr w:type="spellEnd"/>
      <w:r w:rsidRPr="00F93B47">
        <w:rPr>
          <w:color w:val="000000"/>
        </w:rPr>
        <w:t xml:space="preserve"> </w:t>
      </w:r>
      <w:proofErr w:type="spellStart"/>
      <w:r w:rsidRPr="00F93B47">
        <w:rPr>
          <w:color w:val="000000"/>
        </w:rPr>
        <w:t>number</w:t>
      </w:r>
      <w:proofErr w:type="spellEnd"/>
      <w:r w:rsidRPr="00F93B47">
        <w:rPr>
          <w:color w:val="000000"/>
        </w:rPr>
        <w:t xml:space="preserve"> of HARQ </w:t>
      </w:r>
      <w:proofErr w:type="spellStart"/>
      <w:r w:rsidRPr="00F93B47">
        <w:rPr>
          <w:color w:val="000000"/>
        </w:rPr>
        <w:t>processes</w:t>
      </w:r>
      <w:proofErr w:type="spellEnd"/>
    </w:p>
    <w:p w14:paraId="33CB09B7" w14:textId="6B383BBA" w:rsidR="00F93B47" w:rsidRPr="00F93B47" w:rsidRDefault="00F93B47" w:rsidP="00AE572C">
      <w:pPr>
        <w:pStyle w:val="ListParagraph"/>
        <w:numPr>
          <w:ilvl w:val="0"/>
          <w:numId w:val="35"/>
        </w:numPr>
        <w:jc w:val="both"/>
        <w:rPr>
          <w:bCs/>
          <w:lang w:val="en-US" w:eastAsia="ko-KR"/>
        </w:rPr>
      </w:pPr>
      <w:r w:rsidRPr="00F93B47">
        <w:rPr>
          <w:color w:val="000000"/>
        </w:rPr>
        <w:t xml:space="preserve">K1 </w:t>
      </w:r>
      <w:proofErr w:type="spellStart"/>
      <w:r w:rsidRPr="00F93B47">
        <w:rPr>
          <w:color w:val="000000"/>
        </w:rPr>
        <w:t>range</w:t>
      </w:r>
      <w:proofErr w:type="spellEnd"/>
      <w:r w:rsidRPr="00F93B47">
        <w:rPr>
          <w:color w:val="000000"/>
        </w:rPr>
        <w:t xml:space="preserve"> </w:t>
      </w:r>
      <w:proofErr w:type="spellStart"/>
      <w:r w:rsidRPr="00F93B47">
        <w:rPr>
          <w:color w:val="000000"/>
        </w:rPr>
        <w:t>extension</w:t>
      </w:r>
      <w:proofErr w:type="spellEnd"/>
    </w:p>
    <w:p w14:paraId="3EF2F4C9" w14:textId="77777777" w:rsidR="00F93B47" w:rsidRPr="00F93B47" w:rsidRDefault="00F93B47" w:rsidP="00F93B47">
      <w:pPr>
        <w:pStyle w:val="ListParagraph"/>
        <w:jc w:val="both"/>
        <w:rPr>
          <w:bCs/>
          <w:lang w:val="en-US" w:eastAsia="ko-KR"/>
        </w:rPr>
      </w:pPr>
    </w:p>
    <w:p w14:paraId="66E46DE7" w14:textId="5C35A248" w:rsidR="00F93B47" w:rsidRDefault="00F93B47" w:rsidP="00AE572C">
      <w:pPr>
        <w:jc w:val="both"/>
        <w:rPr>
          <w:bCs/>
          <w:sz w:val="24"/>
          <w:szCs w:val="24"/>
          <w:lang w:val="en-US" w:eastAsia="ko-KR"/>
        </w:rPr>
      </w:pPr>
      <w:r>
        <w:rPr>
          <w:bCs/>
          <w:sz w:val="24"/>
          <w:szCs w:val="24"/>
          <w:lang w:val="en-US" w:eastAsia="ko-KR"/>
        </w:rPr>
        <w:t xml:space="preserve">In our view, these new ATG UE features </w:t>
      </w:r>
      <w:r w:rsidR="004A120A">
        <w:rPr>
          <w:bCs/>
          <w:sz w:val="24"/>
          <w:szCs w:val="24"/>
          <w:lang w:val="en-US" w:eastAsia="ko-KR"/>
        </w:rPr>
        <w:t>should</w:t>
      </w:r>
      <w:r>
        <w:rPr>
          <w:bCs/>
          <w:sz w:val="24"/>
          <w:szCs w:val="24"/>
          <w:lang w:val="en-US" w:eastAsia="ko-KR"/>
        </w:rPr>
        <w:t xml:space="preserve"> be introduced. Hence, we have the following proposal, where two additional notes</w:t>
      </w:r>
      <w:r w:rsidR="00D64D37">
        <w:rPr>
          <w:bCs/>
          <w:sz w:val="24"/>
          <w:szCs w:val="24"/>
          <w:lang w:val="en-US" w:eastAsia="ko-KR"/>
        </w:rPr>
        <w:t xml:space="preserve"> </w:t>
      </w:r>
      <w:r w:rsidR="004A120A">
        <w:rPr>
          <w:bCs/>
          <w:sz w:val="24"/>
          <w:szCs w:val="24"/>
          <w:lang w:val="en-US" w:eastAsia="ko-KR"/>
        </w:rPr>
        <w:t xml:space="preserve">are provided </w:t>
      </w:r>
      <w:r w:rsidR="00D64D37">
        <w:rPr>
          <w:bCs/>
          <w:sz w:val="24"/>
          <w:szCs w:val="24"/>
          <w:lang w:val="en-US" w:eastAsia="ko-KR"/>
        </w:rPr>
        <w:t xml:space="preserve">on top of the version in </w:t>
      </w:r>
      <w:r w:rsidR="00D64D37" w:rsidRPr="00601729">
        <w:rPr>
          <w:sz w:val="24"/>
          <w:szCs w:val="24"/>
        </w:rPr>
        <w:fldChar w:fldCharType="begin"/>
      </w:r>
      <w:r w:rsidR="00D64D37" w:rsidRPr="00601729">
        <w:rPr>
          <w:sz w:val="24"/>
          <w:szCs w:val="24"/>
        </w:rPr>
        <w:instrText xml:space="preserve"> REF _Ref78543045 \r \h  \* MERGEFORMAT </w:instrText>
      </w:r>
      <w:r w:rsidR="00D64D37" w:rsidRPr="00601729">
        <w:rPr>
          <w:sz w:val="24"/>
          <w:szCs w:val="24"/>
        </w:rPr>
      </w:r>
      <w:r w:rsidR="00D64D37" w:rsidRPr="00601729">
        <w:rPr>
          <w:sz w:val="24"/>
          <w:szCs w:val="24"/>
        </w:rPr>
        <w:fldChar w:fldCharType="separate"/>
      </w:r>
      <w:r w:rsidR="00D64D37">
        <w:rPr>
          <w:sz w:val="24"/>
          <w:szCs w:val="24"/>
        </w:rPr>
        <w:t>[1]</w:t>
      </w:r>
      <w:r w:rsidR="00D64D37" w:rsidRPr="00601729">
        <w:rPr>
          <w:sz w:val="24"/>
          <w:szCs w:val="24"/>
        </w:rPr>
        <w:fldChar w:fldCharType="end"/>
      </w:r>
      <w:r>
        <w:rPr>
          <w:bCs/>
          <w:sz w:val="24"/>
          <w:szCs w:val="24"/>
          <w:lang w:val="en-US" w:eastAsia="ko-KR"/>
        </w:rPr>
        <w:t>:</w:t>
      </w:r>
    </w:p>
    <w:p w14:paraId="38E02977" w14:textId="5C8F8F32" w:rsidR="00F93B47" w:rsidRDefault="00F93B47" w:rsidP="00F93B47">
      <w:pPr>
        <w:pStyle w:val="ListParagraph"/>
        <w:numPr>
          <w:ilvl w:val="0"/>
          <w:numId w:val="36"/>
        </w:numPr>
        <w:jc w:val="both"/>
        <w:rPr>
          <w:bCs/>
          <w:lang w:val="en-US" w:eastAsia="ko-KR"/>
        </w:rPr>
      </w:pPr>
      <w:r>
        <w:rPr>
          <w:bCs/>
          <w:lang w:val="en-US" w:eastAsia="ko-KR"/>
        </w:rPr>
        <w:t>A</w:t>
      </w:r>
      <w:r w:rsidRPr="00F93B47">
        <w:rPr>
          <w:bCs/>
          <w:lang w:val="en-US" w:eastAsia="ko-KR"/>
        </w:rPr>
        <w:t xml:space="preserve"> note (in red font) is added to </w:t>
      </w:r>
      <w:r>
        <w:rPr>
          <w:bCs/>
          <w:lang w:val="en-US" w:eastAsia="ko-KR"/>
        </w:rPr>
        <w:t>each</w:t>
      </w:r>
      <w:r w:rsidRPr="00F93B47">
        <w:rPr>
          <w:bCs/>
          <w:lang w:val="en-US" w:eastAsia="ko-KR"/>
        </w:rPr>
        <w:t xml:space="preserve"> feature </w:t>
      </w:r>
      <w:r>
        <w:rPr>
          <w:bCs/>
          <w:lang w:val="en-US" w:eastAsia="ko-KR"/>
        </w:rPr>
        <w:t xml:space="preserve">to specify the feature is </w:t>
      </w:r>
      <w:r w:rsidRPr="00F93B47">
        <w:rPr>
          <w:bCs/>
          <w:lang w:val="en-US" w:eastAsia="ko-KR"/>
        </w:rPr>
        <w:t xml:space="preserve">only applicable to ATG operation bands. </w:t>
      </w:r>
    </w:p>
    <w:p w14:paraId="401B093F" w14:textId="3438BDAF" w:rsidR="00F93B47" w:rsidRDefault="00F93B47" w:rsidP="00F93B47">
      <w:pPr>
        <w:pStyle w:val="ListParagraph"/>
        <w:numPr>
          <w:ilvl w:val="0"/>
          <w:numId w:val="36"/>
        </w:numPr>
        <w:jc w:val="both"/>
        <w:rPr>
          <w:bCs/>
          <w:lang w:val="en-US" w:eastAsia="ko-KR"/>
        </w:rPr>
      </w:pPr>
      <w:r>
        <w:rPr>
          <w:bCs/>
          <w:lang w:val="en-US" w:eastAsia="ko-KR"/>
        </w:rPr>
        <w:t>A note (in red font) is added to the feature of “Increasing the number of HARQ processes” to provide candidate component values of X and Y.</w:t>
      </w:r>
    </w:p>
    <w:p w14:paraId="29813F59" w14:textId="77777777" w:rsidR="00F93B47" w:rsidRDefault="00F93B47" w:rsidP="00F93B47">
      <w:pPr>
        <w:pStyle w:val="ListParagraph"/>
        <w:jc w:val="both"/>
        <w:rPr>
          <w:bCs/>
          <w:lang w:val="en-US" w:eastAsia="ko-KR"/>
        </w:rPr>
      </w:pPr>
    </w:p>
    <w:p w14:paraId="67CAA2AA" w14:textId="11B033A4" w:rsidR="00030A2A" w:rsidRPr="00F93B47" w:rsidRDefault="005B064A" w:rsidP="00F93B47">
      <w:pPr>
        <w:tabs>
          <w:tab w:val="left" w:pos="640"/>
        </w:tabs>
        <w:spacing w:after="0"/>
        <w:jc w:val="both"/>
        <w:rPr>
          <w:bCs/>
          <w:i/>
          <w:iCs/>
          <w:lang w:val="en-US"/>
        </w:rPr>
      </w:pPr>
      <w:r w:rsidRPr="005B064A">
        <w:rPr>
          <w:b/>
          <w:bCs/>
          <w:i/>
          <w:iCs/>
          <w:sz w:val="24"/>
          <w:szCs w:val="24"/>
          <w:u w:val="single"/>
        </w:rPr>
        <w:t>Proposal 1:</w:t>
      </w:r>
      <w:r w:rsidRPr="005B064A">
        <w:rPr>
          <w:i/>
          <w:iCs/>
          <w:sz w:val="24"/>
          <w:szCs w:val="24"/>
        </w:rPr>
        <w:t xml:space="preserve"> </w:t>
      </w:r>
      <w:r w:rsidR="00F93B47">
        <w:rPr>
          <w:i/>
          <w:iCs/>
          <w:sz w:val="24"/>
          <w:szCs w:val="24"/>
        </w:rPr>
        <w:t xml:space="preserve">RAN1 to </w:t>
      </w:r>
      <w:proofErr w:type="spellStart"/>
      <w:r w:rsidR="00F93B47">
        <w:rPr>
          <w:i/>
          <w:iCs/>
          <w:sz w:val="24"/>
          <w:szCs w:val="24"/>
        </w:rPr>
        <w:t>i</w:t>
      </w:r>
      <w:r w:rsidR="00F93B47">
        <w:rPr>
          <w:bCs/>
          <w:i/>
          <w:iCs/>
          <w:sz w:val="24"/>
          <w:szCs w:val="24"/>
          <w:lang w:val="en-US"/>
        </w:rPr>
        <w:t>ntroduce</w:t>
      </w:r>
      <w:proofErr w:type="spellEnd"/>
      <w:r w:rsidR="00F93B47">
        <w:rPr>
          <w:bCs/>
          <w:i/>
          <w:iCs/>
          <w:sz w:val="24"/>
          <w:szCs w:val="24"/>
          <w:lang w:val="en-US"/>
        </w:rPr>
        <w:t xml:space="preserve"> the following Rel-18 NR ATG UE features</w:t>
      </w:r>
      <w:r w:rsidR="00F93B47">
        <w:rPr>
          <w:bCs/>
          <w:i/>
          <w:iCs/>
          <w:lang w:val="en-US"/>
        </w:rPr>
        <w:t>:</w:t>
      </w:r>
      <w:r w:rsidR="00030A2A" w:rsidRPr="00030A2A">
        <w:rPr>
          <w:bCs/>
          <w:i/>
          <w:iCs/>
          <w:lang w:val="en-US"/>
        </w:rPr>
        <w:t xml:space="preserve"> </w:t>
      </w: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391"/>
        <w:gridCol w:w="731"/>
        <w:gridCol w:w="531"/>
        <w:gridCol w:w="730"/>
        <w:gridCol w:w="664"/>
        <w:gridCol w:w="597"/>
        <w:gridCol w:w="464"/>
        <w:gridCol w:w="465"/>
        <w:gridCol w:w="863"/>
        <w:gridCol w:w="863"/>
        <w:gridCol w:w="597"/>
      </w:tblGrid>
      <w:tr w:rsidR="00F93B47" w14:paraId="183D2E6B" w14:textId="77777777" w:rsidTr="00F93B47">
        <w:trPr>
          <w:trHeight w:val="5660"/>
        </w:trPr>
        <w:tc>
          <w:tcPr>
            <w:tcW w:w="730" w:type="dxa"/>
            <w:shd w:val="clear" w:color="auto" w:fill="auto"/>
          </w:tcPr>
          <w:p w14:paraId="5B83F5CD"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lastRenderedPageBreak/>
              <w:t>Feature group</w:t>
            </w:r>
          </w:p>
        </w:tc>
        <w:tc>
          <w:tcPr>
            <w:tcW w:w="2391" w:type="dxa"/>
            <w:shd w:val="clear" w:color="auto" w:fill="auto"/>
          </w:tcPr>
          <w:p w14:paraId="70799E79" w14:textId="77777777" w:rsidR="00F93B47" w:rsidRPr="00F93B47" w:rsidRDefault="00F93B47" w:rsidP="007A540B">
            <w:pPr>
              <w:keepNext/>
              <w:keepLines/>
              <w:jc w:val="center"/>
              <w:rPr>
                <w:b/>
                <w:color w:val="000000"/>
                <w:sz w:val="15"/>
                <w:szCs w:val="15"/>
              </w:rPr>
            </w:pPr>
            <w:r w:rsidRPr="00F93B47">
              <w:rPr>
                <w:rFonts w:eastAsia="Times New Roman"/>
                <w:b/>
                <w:color w:val="000000"/>
                <w:sz w:val="15"/>
                <w:szCs w:val="15"/>
              </w:rPr>
              <w:t>Components</w:t>
            </w:r>
          </w:p>
          <w:p w14:paraId="04C18278" w14:textId="77777777" w:rsidR="00F93B47" w:rsidRPr="00F93B47" w:rsidRDefault="00F93B47" w:rsidP="007A540B">
            <w:pPr>
              <w:keepNext/>
              <w:keepLines/>
              <w:jc w:val="center"/>
              <w:rPr>
                <w:b/>
                <w:color w:val="000000"/>
                <w:sz w:val="15"/>
                <w:szCs w:val="15"/>
              </w:rPr>
            </w:pPr>
          </w:p>
        </w:tc>
        <w:tc>
          <w:tcPr>
            <w:tcW w:w="731" w:type="dxa"/>
            <w:shd w:val="clear" w:color="auto" w:fill="auto"/>
          </w:tcPr>
          <w:p w14:paraId="0EB6E879"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Prerequisite feature groups</w:t>
            </w:r>
          </w:p>
        </w:tc>
        <w:tc>
          <w:tcPr>
            <w:tcW w:w="531" w:type="dxa"/>
            <w:shd w:val="clear" w:color="auto" w:fill="auto"/>
          </w:tcPr>
          <w:p w14:paraId="1A012A40"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Need for the gNB to know if the feature is supported</w:t>
            </w:r>
          </w:p>
        </w:tc>
        <w:tc>
          <w:tcPr>
            <w:tcW w:w="730" w:type="dxa"/>
            <w:shd w:val="clear" w:color="auto" w:fill="auto"/>
          </w:tcPr>
          <w:p w14:paraId="39BE86E2" w14:textId="77777777" w:rsidR="00F93B47" w:rsidRPr="00F93B47" w:rsidRDefault="00F93B47" w:rsidP="007A540B">
            <w:pPr>
              <w:keepNext/>
              <w:keepLines/>
              <w:jc w:val="center"/>
              <w:rPr>
                <w:rFonts w:eastAsia="Times New Roman"/>
                <w:b/>
                <w:color w:val="000000"/>
                <w:sz w:val="15"/>
                <w:szCs w:val="15"/>
              </w:rPr>
            </w:pPr>
            <w:r w:rsidRPr="00F93B47">
              <w:rPr>
                <w:rFonts w:eastAsia="Gulim"/>
                <w:b/>
                <w:color w:val="000000"/>
                <w:sz w:val="15"/>
                <w:szCs w:val="15"/>
              </w:rPr>
              <w:t xml:space="preserve">Applicable to </w:t>
            </w:r>
            <w:r w:rsidRPr="00F93B47">
              <w:rPr>
                <w:rFonts w:eastAsia="Times New Roman"/>
                <w:b/>
                <w:color w:val="000000"/>
                <w:sz w:val="15"/>
                <w:szCs w:val="15"/>
              </w:rPr>
              <w:t>the capability signalling exchange between UEs (V2X WI only)”.</w:t>
            </w:r>
          </w:p>
        </w:tc>
        <w:tc>
          <w:tcPr>
            <w:tcW w:w="664" w:type="dxa"/>
          </w:tcPr>
          <w:p w14:paraId="5D495754" w14:textId="77777777" w:rsidR="00F93B47" w:rsidRPr="00F93B47" w:rsidRDefault="00F93B47" w:rsidP="007A540B">
            <w:pPr>
              <w:keepNext/>
              <w:keepLines/>
              <w:rPr>
                <w:b/>
                <w:color w:val="000000"/>
                <w:sz w:val="15"/>
                <w:szCs w:val="15"/>
              </w:rPr>
            </w:pPr>
            <w:r w:rsidRPr="00F93B47">
              <w:rPr>
                <w:b/>
                <w:color w:val="000000"/>
                <w:sz w:val="15"/>
                <w:szCs w:val="15"/>
              </w:rPr>
              <w:t>Consequence if the feature is not supported by the UE</w:t>
            </w:r>
          </w:p>
        </w:tc>
        <w:tc>
          <w:tcPr>
            <w:tcW w:w="597" w:type="dxa"/>
            <w:shd w:val="clear" w:color="auto" w:fill="auto"/>
          </w:tcPr>
          <w:p w14:paraId="61A81970" w14:textId="77777777" w:rsidR="00F93B47" w:rsidRPr="00F93B47" w:rsidRDefault="00F93B47" w:rsidP="007A540B">
            <w:pPr>
              <w:keepNext/>
              <w:keepLines/>
              <w:rPr>
                <w:b/>
                <w:color w:val="000000"/>
                <w:sz w:val="15"/>
                <w:szCs w:val="15"/>
              </w:rPr>
            </w:pPr>
            <w:r w:rsidRPr="00F93B47">
              <w:rPr>
                <w:b/>
                <w:color w:val="000000"/>
                <w:sz w:val="15"/>
                <w:szCs w:val="15"/>
              </w:rPr>
              <w:t>Type</w:t>
            </w:r>
          </w:p>
          <w:p w14:paraId="08E4DB6C" w14:textId="77777777" w:rsidR="00F93B47" w:rsidRPr="00F93B47" w:rsidRDefault="00F93B47" w:rsidP="007A540B">
            <w:pPr>
              <w:keepNext/>
              <w:keepLines/>
              <w:rPr>
                <w:b/>
                <w:color w:val="000000"/>
                <w:sz w:val="15"/>
                <w:szCs w:val="15"/>
              </w:rPr>
            </w:pPr>
            <w:r w:rsidRPr="00F93B47">
              <w:rPr>
                <w:b/>
                <w:color w:val="000000"/>
                <w:sz w:val="15"/>
                <w:szCs w:val="15"/>
              </w:rPr>
              <w:t>(the ‘type’ definition from UE features should be based on the granularity of 1) Per UE or 2) Per Band or 3) Per BC or 4) Per FS or 5) Per FSPC)</w:t>
            </w:r>
          </w:p>
        </w:tc>
        <w:tc>
          <w:tcPr>
            <w:tcW w:w="464" w:type="dxa"/>
            <w:shd w:val="clear" w:color="auto" w:fill="auto"/>
          </w:tcPr>
          <w:p w14:paraId="4EC269C4"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Need of FDD/TDD differentiation</w:t>
            </w:r>
          </w:p>
        </w:tc>
        <w:tc>
          <w:tcPr>
            <w:tcW w:w="465" w:type="dxa"/>
            <w:shd w:val="clear" w:color="auto" w:fill="auto"/>
          </w:tcPr>
          <w:p w14:paraId="13607280"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Need of FR1/FR2 differentiation</w:t>
            </w:r>
          </w:p>
        </w:tc>
        <w:tc>
          <w:tcPr>
            <w:tcW w:w="863" w:type="dxa"/>
          </w:tcPr>
          <w:p w14:paraId="76155A5C"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Capability interpretation for mixture of FDD/TDD and/or FR1/FR2</w:t>
            </w:r>
          </w:p>
        </w:tc>
        <w:tc>
          <w:tcPr>
            <w:tcW w:w="863" w:type="dxa"/>
            <w:shd w:val="clear" w:color="auto" w:fill="auto"/>
          </w:tcPr>
          <w:p w14:paraId="2C386EAA"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Note</w:t>
            </w:r>
          </w:p>
        </w:tc>
        <w:tc>
          <w:tcPr>
            <w:tcW w:w="597" w:type="dxa"/>
            <w:shd w:val="clear" w:color="auto" w:fill="auto"/>
          </w:tcPr>
          <w:p w14:paraId="0BFA312C"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Mandatory/Optional</w:t>
            </w:r>
          </w:p>
        </w:tc>
      </w:tr>
      <w:tr w:rsidR="00F93B47" w14:paraId="661F76B7" w14:textId="77777777" w:rsidTr="00F93B47">
        <w:trPr>
          <w:trHeight w:val="2437"/>
        </w:trPr>
        <w:tc>
          <w:tcPr>
            <w:tcW w:w="730" w:type="dxa"/>
            <w:shd w:val="clear" w:color="auto" w:fill="auto"/>
          </w:tcPr>
          <w:p w14:paraId="7E2A72A5" w14:textId="77777777" w:rsidR="00F93B47" w:rsidRPr="00F93B47" w:rsidRDefault="00F93B47" w:rsidP="007A540B">
            <w:pPr>
              <w:keepNext/>
              <w:keepLines/>
              <w:rPr>
                <w:color w:val="000000"/>
                <w:sz w:val="15"/>
                <w:szCs w:val="15"/>
                <w:lang w:eastAsia="en-GB"/>
              </w:rPr>
            </w:pPr>
            <w:r w:rsidRPr="00F93B47">
              <w:rPr>
                <w:color w:val="000000"/>
                <w:sz w:val="15"/>
                <w:szCs w:val="15"/>
              </w:rPr>
              <w:t>Uplink Time and Frequency pre-compensation and timing relationship enhancements</w:t>
            </w:r>
          </w:p>
        </w:tc>
        <w:tc>
          <w:tcPr>
            <w:tcW w:w="2391" w:type="dxa"/>
            <w:shd w:val="clear" w:color="auto" w:fill="auto"/>
          </w:tcPr>
          <w:p w14:paraId="3D7D117D" w14:textId="77777777" w:rsidR="00F93B47" w:rsidRPr="00F93B47" w:rsidRDefault="00F93B47" w:rsidP="007A540B">
            <w:pPr>
              <w:keepNext/>
              <w:keepLines/>
              <w:rPr>
                <w:color w:val="000000"/>
                <w:sz w:val="15"/>
                <w:szCs w:val="15"/>
              </w:rPr>
            </w:pPr>
            <w:r w:rsidRPr="00F93B47">
              <w:rPr>
                <w:color w:val="000000"/>
                <w:sz w:val="15"/>
                <w:szCs w:val="15"/>
              </w:rPr>
              <w:t>Support of UE specific TA calculation based on its GNSS-acquired position and the indicated BS location.</w:t>
            </w:r>
          </w:p>
          <w:p w14:paraId="0214B152" w14:textId="77777777" w:rsidR="00F93B47" w:rsidRPr="00F93B47" w:rsidRDefault="00F93B47" w:rsidP="007A540B">
            <w:pPr>
              <w:keepNext/>
              <w:keepLines/>
              <w:rPr>
                <w:color w:val="000000"/>
                <w:sz w:val="15"/>
                <w:szCs w:val="15"/>
              </w:rPr>
            </w:pPr>
            <w:r w:rsidRPr="00F93B47">
              <w:rPr>
                <w:color w:val="000000"/>
                <w:sz w:val="15"/>
                <w:szCs w:val="15"/>
              </w:rPr>
              <w:t>Support of open (i.e. UE autonomous TA estimation) and closed (i.e., received TA commands) loop control for TA update in RRC_CONNECTED state.</w:t>
            </w:r>
          </w:p>
          <w:p w14:paraId="6EE34026" w14:textId="77777777" w:rsidR="00F93B47" w:rsidRPr="00F93B47" w:rsidRDefault="00F93B47" w:rsidP="007A540B">
            <w:pPr>
              <w:keepNext/>
              <w:keepLines/>
              <w:rPr>
                <w:color w:val="000000"/>
                <w:sz w:val="15"/>
                <w:szCs w:val="15"/>
              </w:rPr>
            </w:pPr>
            <w:r w:rsidRPr="00F93B47">
              <w:rPr>
                <w:color w:val="000000"/>
                <w:sz w:val="15"/>
                <w:szCs w:val="15"/>
              </w:rPr>
              <w:t>Support of pre-compensation of the calculated TA in the uplink transmissions.</w:t>
            </w:r>
          </w:p>
          <w:p w14:paraId="1F20D5D7" w14:textId="77777777" w:rsidR="00F93B47" w:rsidRPr="00F93B47" w:rsidRDefault="00F93B47" w:rsidP="007A540B">
            <w:pPr>
              <w:keepNext/>
              <w:keepLines/>
              <w:rPr>
                <w:color w:val="000000"/>
                <w:sz w:val="15"/>
                <w:szCs w:val="15"/>
              </w:rPr>
            </w:pPr>
            <w:r w:rsidRPr="00F93B47">
              <w:rPr>
                <w:color w:val="000000"/>
                <w:sz w:val="15"/>
                <w:szCs w:val="15"/>
              </w:rPr>
              <w:t>Support of frequency pre-compensation to account for the Doppler experienced on the service link.</w:t>
            </w:r>
          </w:p>
          <w:p w14:paraId="49B85007" w14:textId="77777777" w:rsidR="00F93B47" w:rsidRPr="00F93B47" w:rsidRDefault="00F93B47" w:rsidP="007A540B">
            <w:pPr>
              <w:keepNext/>
              <w:keepLines/>
              <w:rPr>
                <w:color w:val="000000"/>
                <w:sz w:val="15"/>
                <w:szCs w:val="15"/>
              </w:rPr>
            </w:pPr>
            <w:r w:rsidRPr="00F93B47">
              <w:rPr>
                <w:color w:val="000000"/>
                <w:sz w:val="15"/>
                <w:szCs w:val="15"/>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F93B47">
              <w:rPr>
                <w:color w:val="000000"/>
                <w:sz w:val="15"/>
                <w:szCs w:val="15"/>
              </w:rPr>
              <w:t>K_offset</w:t>
            </w:r>
            <w:proofErr w:type="spellEnd"/>
            <w:r w:rsidRPr="00F93B47">
              <w:rPr>
                <w:color w:val="000000"/>
                <w:sz w:val="15"/>
                <w:szCs w:val="15"/>
              </w:rPr>
              <w:t xml:space="preserve"> if indicated.</w:t>
            </w:r>
          </w:p>
          <w:p w14:paraId="3EE2FBDA" w14:textId="77777777" w:rsidR="00F93B47" w:rsidRPr="00F93B47" w:rsidRDefault="00F93B47" w:rsidP="007A540B">
            <w:pPr>
              <w:keepNext/>
              <w:keepLines/>
              <w:rPr>
                <w:color w:val="000000"/>
                <w:sz w:val="15"/>
                <w:szCs w:val="15"/>
                <w:lang w:eastAsia="en-GB"/>
              </w:rPr>
            </w:pPr>
            <w:r w:rsidRPr="00F93B47">
              <w:rPr>
                <w:color w:val="000000"/>
                <w:sz w:val="15"/>
                <w:szCs w:val="15"/>
              </w:rPr>
              <w:t xml:space="preserve">Support of UE receiving cell-specific </w:t>
            </w:r>
            <w:proofErr w:type="spellStart"/>
            <w:r w:rsidRPr="00F93B47">
              <w:rPr>
                <w:color w:val="000000"/>
                <w:sz w:val="15"/>
                <w:szCs w:val="15"/>
              </w:rPr>
              <w:t>K_offset</w:t>
            </w:r>
            <w:proofErr w:type="spellEnd"/>
            <w:r w:rsidRPr="00F93B47">
              <w:rPr>
                <w:color w:val="000000"/>
                <w:sz w:val="15"/>
                <w:szCs w:val="15"/>
              </w:rPr>
              <w:t xml:space="preserve"> in system information.</w:t>
            </w:r>
          </w:p>
        </w:tc>
        <w:tc>
          <w:tcPr>
            <w:tcW w:w="731" w:type="dxa"/>
            <w:shd w:val="clear" w:color="auto" w:fill="auto"/>
          </w:tcPr>
          <w:p w14:paraId="24E4B5D6" w14:textId="77777777" w:rsidR="00F93B47" w:rsidRPr="00F93B47" w:rsidRDefault="00F93B47" w:rsidP="007A540B">
            <w:pPr>
              <w:keepNext/>
              <w:keepLines/>
              <w:rPr>
                <w:color w:val="000000"/>
                <w:sz w:val="15"/>
                <w:szCs w:val="15"/>
              </w:rPr>
            </w:pPr>
          </w:p>
        </w:tc>
        <w:tc>
          <w:tcPr>
            <w:tcW w:w="531" w:type="dxa"/>
            <w:shd w:val="clear" w:color="auto" w:fill="auto"/>
          </w:tcPr>
          <w:p w14:paraId="75208BD6"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7CA17A50"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59DE4CB7" w14:textId="77777777" w:rsidR="00F93B47" w:rsidRPr="00F93B47" w:rsidRDefault="00F93B47" w:rsidP="007A540B">
            <w:pPr>
              <w:keepNext/>
              <w:keepLines/>
              <w:rPr>
                <w:color w:val="000000"/>
                <w:sz w:val="15"/>
                <w:szCs w:val="15"/>
              </w:rPr>
            </w:pPr>
            <w:r w:rsidRPr="00F93B47">
              <w:rPr>
                <w:color w:val="000000"/>
                <w:sz w:val="15"/>
                <w:szCs w:val="15"/>
              </w:rPr>
              <w:t>If UE does not support this feature, the performance of ATG UE cannot be guaranteed due to the large propagation delay.</w:t>
            </w:r>
          </w:p>
        </w:tc>
        <w:tc>
          <w:tcPr>
            <w:tcW w:w="597" w:type="dxa"/>
            <w:shd w:val="clear" w:color="auto" w:fill="auto"/>
          </w:tcPr>
          <w:p w14:paraId="4031F9D9"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584ACCDA" w14:textId="77777777" w:rsidR="00F93B47" w:rsidRPr="00F93B47" w:rsidRDefault="00F93B47" w:rsidP="007A540B">
            <w:pPr>
              <w:keepNext/>
              <w:keepLines/>
              <w:rPr>
                <w:color w:val="000000"/>
                <w:sz w:val="15"/>
                <w:szCs w:val="15"/>
              </w:rPr>
            </w:pPr>
            <w:r w:rsidRPr="00F93B47">
              <w:rPr>
                <w:color w:val="000000"/>
                <w:sz w:val="15"/>
                <w:szCs w:val="15"/>
              </w:rPr>
              <w:t>No</w:t>
            </w:r>
          </w:p>
        </w:tc>
        <w:tc>
          <w:tcPr>
            <w:tcW w:w="465" w:type="dxa"/>
            <w:shd w:val="clear" w:color="auto" w:fill="auto"/>
          </w:tcPr>
          <w:p w14:paraId="48A1AAED"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7D2716DE"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5FA53B82" w14:textId="05A64138" w:rsidR="00F93B47" w:rsidRPr="00F93B47" w:rsidRDefault="00D64D37" w:rsidP="007A540B">
            <w:pPr>
              <w:keepNext/>
              <w:keepLines/>
              <w:rPr>
                <w:color w:val="FF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60E8C39D" w14:textId="77777777" w:rsidR="00F93B47" w:rsidRPr="00F93B47" w:rsidRDefault="00F93B47" w:rsidP="007A540B">
            <w:pPr>
              <w:keepNext/>
              <w:keepLines/>
              <w:rPr>
                <w:color w:val="000000"/>
                <w:sz w:val="15"/>
                <w:szCs w:val="15"/>
              </w:rPr>
            </w:pPr>
            <w:r w:rsidRPr="00F93B47">
              <w:rPr>
                <w:color w:val="000000"/>
                <w:sz w:val="15"/>
                <w:szCs w:val="15"/>
              </w:rPr>
              <w:t>Mandatory with capability signaling for UE supports NR communication via ATG</w:t>
            </w:r>
          </w:p>
          <w:p w14:paraId="5CA5529F" w14:textId="77777777" w:rsidR="00F93B47" w:rsidRPr="00F93B47" w:rsidRDefault="00F93B47" w:rsidP="007A540B">
            <w:pPr>
              <w:keepNext/>
              <w:keepLines/>
              <w:rPr>
                <w:color w:val="000000"/>
                <w:sz w:val="15"/>
                <w:szCs w:val="15"/>
              </w:rPr>
            </w:pPr>
          </w:p>
          <w:p w14:paraId="4D5F8FE1" w14:textId="77777777" w:rsidR="00F93B47" w:rsidRPr="00F93B47" w:rsidRDefault="00F93B47" w:rsidP="007A540B">
            <w:pPr>
              <w:keepNext/>
              <w:keepLines/>
              <w:rPr>
                <w:color w:val="000000"/>
                <w:sz w:val="15"/>
                <w:szCs w:val="15"/>
              </w:rPr>
            </w:pPr>
          </w:p>
        </w:tc>
      </w:tr>
      <w:tr w:rsidR="00F93B47" w14:paraId="1B4684F4" w14:textId="77777777" w:rsidTr="00F93B47">
        <w:trPr>
          <w:trHeight w:val="2604"/>
        </w:trPr>
        <w:tc>
          <w:tcPr>
            <w:tcW w:w="730" w:type="dxa"/>
            <w:shd w:val="clear" w:color="auto" w:fill="auto"/>
          </w:tcPr>
          <w:p w14:paraId="601A2B5C" w14:textId="77777777" w:rsidR="00F93B47" w:rsidRPr="00F93B47" w:rsidRDefault="00F93B47" w:rsidP="007A540B">
            <w:pPr>
              <w:keepNext/>
              <w:keepLines/>
              <w:rPr>
                <w:color w:val="000000"/>
                <w:sz w:val="15"/>
                <w:szCs w:val="15"/>
              </w:rPr>
            </w:pPr>
            <w:r w:rsidRPr="00F93B47">
              <w:rPr>
                <w:color w:val="000000"/>
                <w:sz w:val="15"/>
                <w:szCs w:val="15"/>
              </w:rPr>
              <w:lastRenderedPageBreak/>
              <w:t>UE reporting of TA information</w:t>
            </w:r>
          </w:p>
        </w:tc>
        <w:tc>
          <w:tcPr>
            <w:tcW w:w="2391" w:type="dxa"/>
            <w:shd w:val="clear" w:color="auto" w:fill="auto"/>
          </w:tcPr>
          <w:p w14:paraId="66FE634D" w14:textId="77777777" w:rsidR="00F93B47" w:rsidRPr="00F93B47" w:rsidRDefault="00F93B47" w:rsidP="007A540B">
            <w:pPr>
              <w:keepNext/>
              <w:keepLines/>
              <w:rPr>
                <w:color w:val="000000"/>
                <w:sz w:val="15"/>
                <w:szCs w:val="15"/>
              </w:rPr>
            </w:pPr>
            <w:r w:rsidRPr="00F93B47">
              <w:rPr>
                <w:color w:val="000000"/>
                <w:sz w:val="15"/>
                <w:szCs w:val="15"/>
              </w:rPr>
              <w:t>Support UE reporting of TA information</w:t>
            </w:r>
          </w:p>
        </w:tc>
        <w:tc>
          <w:tcPr>
            <w:tcW w:w="731" w:type="dxa"/>
            <w:shd w:val="clear" w:color="auto" w:fill="auto"/>
          </w:tcPr>
          <w:p w14:paraId="48347CFB" w14:textId="77777777" w:rsidR="00F93B47" w:rsidRPr="00F93B47" w:rsidRDefault="00F93B47" w:rsidP="007A540B">
            <w:pPr>
              <w:keepNext/>
              <w:keepLines/>
              <w:rPr>
                <w:color w:val="000000"/>
                <w:sz w:val="15"/>
                <w:szCs w:val="15"/>
              </w:rPr>
            </w:pPr>
            <w:r w:rsidRPr="00F93B47">
              <w:rPr>
                <w:color w:val="000000"/>
                <w:sz w:val="15"/>
                <w:szCs w:val="15"/>
              </w:rPr>
              <w:t>[Uplink Time and Frequency pre-compensation and timing relationship enhancements]</w:t>
            </w:r>
          </w:p>
        </w:tc>
        <w:tc>
          <w:tcPr>
            <w:tcW w:w="531" w:type="dxa"/>
            <w:shd w:val="clear" w:color="auto" w:fill="auto"/>
          </w:tcPr>
          <w:p w14:paraId="20AB7444"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6C980854"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1F845E20" w14:textId="77777777" w:rsidR="00F93B47" w:rsidRPr="00F93B47" w:rsidRDefault="00F93B47" w:rsidP="007A540B">
            <w:pPr>
              <w:keepNext/>
              <w:keepLines/>
              <w:rPr>
                <w:color w:val="000000"/>
                <w:sz w:val="15"/>
                <w:szCs w:val="15"/>
              </w:rPr>
            </w:pPr>
            <w:r w:rsidRPr="00F93B47">
              <w:rPr>
                <w:color w:val="000000"/>
                <w:sz w:val="15"/>
                <w:szCs w:val="15"/>
              </w:rPr>
              <w:t>If UE does not support this feature, UE cannot report the TA information to network.</w:t>
            </w:r>
          </w:p>
        </w:tc>
        <w:tc>
          <w:tcPr>
            <w:tcW w:w="597" w:type="dxa"/>
            <w:shd w:val="clear" w:color="auto" w:fill="auto"/>
          </w:tcPr>
          <w:p w14:paraId="341BC2C6"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280BF4E8" w14:textId="77777777" w:rsidR="00F93B47" w:rsidRPr="00F93B47" w:rsidRDefault="00F93B47" w:rsidP="007A540B">
            <w:pPr>
              <w:keepNext/>
              <w:keepLines/>
              <w:rPr>
                <w:color w:val="000000"/>
                <w:sz w:val="15"/>
                <w:szCs w:val="15"/>
              </w:rPr>
            </w:pPr>
            <w:r w:rsidRPr="00F93B47">
              <w:rPr>
                <w:color w:val="000000"/>
                <w:sz w:val="15"/>
                <w:szCs w:val="15"/>
              </w:rPr>
              <w:t>No</w:t>
            </w:r>
          </w:p>
        </w:tc>
        <w:tc>
          <w:tcPr>
            <w:tcW w:w="465" w:type="dxa"/>
            <w:shd w:val="clear" w:color="auto" w:fill="auto"/>
          </w:tcPr>
          <w:p w14:paraId="6DBF2CFD"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5A2DD567"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2B60B50C" w14:textId="03C28E0D" w:rsidR="00F93B47" w:rsidRPr="00F93B47" w:rsidRDefault="00D64D37" w:rsidP="007A540B">
            <w:pPr>
              <w:keepNext/>
              <w:keepLines/>
              <w:rPr>
                <w:color w:val="00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380E6507" w14:textId="77777777" w:rsidR="00F93B47" w:rsidRPr="00F93B47" w:rsidRDefault="00F93B47" w:rsidP="007A540B">
            <w:pPr>
              <w:keepNext/>
              <w:keepLines/>
              <w:rPr>
                <w:color w:val="000000"/>
                <w:sz w:val="15"/>
                <w:szCs w:val="15"/>
              </w:rPr>
            </w:pPr>
            <w:r w:rsidRPr="00F93B47">
              <w:rPr>
                <w:color w:val="000000"/>
                <w:sz w:val="15"/>
                <w:szCs w:val="15"/>
              </w:rPr>
              <w:t xml:space="preserve">Optional with capability </w:t>
            </w:r>
            <w:proofErr w:type="spellStart"/>
            <w:r w:rsidRPr="00F93B47">
              <w:rPr>
                <w:color w:val="000000"/>
                <w:sz w:val="15"/>
                <w:szCs w:val="15"/>
              </w:rPr>
              <w:t>siganling</w:t>
            </w:r>
            <w:proofErr w:type="spellEnd"/>
          </w:p>
        </w:tc>
      </w:tr>
      <w:tr w:rsidR="00F93B47" w14:paraId="25BDAC6E" w14:textId="77777777" w:rsidTr="00F93B47">
        <w:trPr>
          <w:trHeight w:val="2437"/>
        </w:trPr>
        <w:tc>
          <w:tcPr>
            <w:tcW w:w="730" w:type="dxa"/>
            <w:shd w:val="clear" w:color="auto" w:fill="auto"/>
          </w:tcPr>
          <w:p w14:paraId="7B673C16" w14:textId="77777777" w:rsidR="00F93B47" w:rsidRPr="00F93B47" w:rsidRDefault="00F93B47" w:rsidP="007A540B">
            <w:pPr>
              <w:keepNext/>
              <w:keepLines/>
              <w:rPr>
                <w:color w:val="000000"/>
                <w:sz w:val="15"/>
                <w:szCs w:val="15"/>
              </w:rPr>
            </w:pPr>
            <w:r w:rsidRPr="00F93B47">
              <w:rPr>
                <w:color w:val="000000"/>
                <w:sz w:val="15"/>
                <w:szCs w:val="15"/>
              </w:rPr>
              <w:t>Increasing the number of HARQ processes</w:t>
            </w:r>
          </w:p>
        </w:tc>
        <w:tc>
          <w:tcPr>
            <w:tcW w:w="2391" w:type="dxa"/>
            <w:shd w:val="clear" w:color="auto" w:fill="auto"/>
          </w:tcPr>
          <w:p w14:paraId="427901B7" w14:textId="77777777" w:rsidR="00F93B47" w:rsidRPr="00F93B47" w:rsidRDefault="00F93B47" w:rsidP="007A540B">
            <w:pPr>
              <w:keepNext/>
              <w:keepLines/>
              <w:rPr>
                <w:color w:val="000000"/>
                <w:sz w:val="15"/>
                <w:szCs w:val="15"/>
              </w:rPr>
            </w:pPr>
            <w:r w:rsidRPr="00F93B47">
              <w:rPr>
                <w:color w:val="000000"/>
                <w:sz w:val="15"/>
                <w:szCs w:val="15"/>
              </w:rPr>
              <w:t>The maximal supported HARQ process number is X for UL and Y for DL</w:t>
            </w:r>
          </w:p>
        </w:tc>
        <w:tc>
          <w:tcPr>
            <w:tcW w:w="731" w:type="dxa"/>
            <w:shd w:val="clear" w:color="auto" w:fill="auto"/>
          </w:tcPr>
          <w:p w14:paraId="3743AEB6" w14:textId="77777777" w:rsidR="00F93B47" w:rsidRPr="00F93B47" w:rsidRDefault="00F93B47" w:rsidP="007A540B">
            <w:pPr>
              <w:keepNext/>
              <w:keepLines/>
              <w:rPr>
                <w:color w:val="000000"/>
                <w:sz w:val="15"/>
                <w:szCs w:val="15"/>
              </w:rPr>
            </w:pPr>
          </w:p>
        </w:tc>
        <w:tc>
          <w:tcPr>
            <w:tcW w:w="531" w:type="dxa"/>
            <w:shd w:val="clear" w:color="auto" w:fill="auto"/>
          </w:tcPr>
          <w:p w14:paraId="3A923ECE"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178031A4"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2BFD1B06" w14:textId="06CD71A4" w:rsidR="00F93B47" w:rsidRPr="00F93B47" w:rsidRDefault="00F93B47" w:rsidP="007A540B">
            <w:pPr>
              <w:keepNext/>
              <w:keepLines/>
              <w:rPr>
                <w:color w:val="000000"/>
                <w:sz w:val="15"/>
                <w:szCs w:val="15"/>
              </w:rPr>
            </w:pPr>
            <w:r w:rsidRPr="00F93B47">
              <w:rPr>
                <w:color w:val="000000"/>
                <w:sz w:val="15"/>
                <w:szCs w:val="15"/>
              </w:rPr>
              <w:t>If UE does not support this feature, the HARQ process is number is limite</w:t>
            </w:r>
            <w:r w:rsidR="00D64D37">
              <w:rPr>
                <w:color w:val="000000"/>
                <w:sz w:val="15"/>
                <w:szCs w:val="15"/>
              </w:rPr>
              <w:t>d</w:t>
            </w:r>
            <w:r w:rsidRPr="00F93B47">
              <w:rPr>
                <w:color w:val="000000"/>
                <w:sz w:val="15"/>
                <w:szCs w:val="15"/>
              </w:rPr>
              <w:t xml:space="preserve">. </w:t>
            </w:r>
          </w:p>
        </w:tc>
        <w:tc>
          <w:tcPr>
            <w:tcW w:w="597" w:type="dxa"/>
            <w:shd w:val="clear" w:color="auto" w:fill="auto"/>
          </w:tcPr>
          <w:p w14:paraId="280282BB"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035E19B4" w14:textId="77777777" w:rsidR="00F93B47" w:rsidRPr="00F93B47" w:rsidRDefault="00F93B47" w:rsidP="007A540B">
            <w:pPr>
              <w:keepNext/>
              <w:keepLines/>
              <w:rPr>
                <w:color w:val="000000"/>
                <w:sz w:val="15"/>
                <w:szCs w:val="15"/>
              </w:rPr>
            </w:pPr>
            <w:r w:rsidRPr="00F93B47">
              <w:rPr>
                <w:color w:val="000000"/>
                <w:sz w:val="15"/>
                <w:szCs w:val="15"/>
              </w:rPr>
              <w:t>No</w:t>
            </w:r>
          </w:p>
        </w:tc>
        <w:tc>
          <w:tcPr>
            <w:tcW w:w="465" w:type="dxa"/>
            <w:shd w:val="clear" w:color="auto" w:fill="auto"/>
          </w:tcPr>
          <w:p w14:paraId="4C0CB2BB"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1E318D72"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63156593" w14:textId="77777777" w:rsidR="00F93B47" w:rsidRDefault="00F93B47" w:rsidP="00F93B47">
            <w:pPr>
              <w:keepNext/>
              <w:keepLines/>
              <w:rPr>
                <w:color w:val="FF0000"/>
                <w:sz w:val="15"/>
                <w:szCs w:val="15"/>
              </w:rPr>
            </w:pPr>
            <w:r w:rsidRPr="00F93B47">
              <w:rPr>
                <w:color w:val="FF0000"/>
                <w:sz w:val="15"/>
                <w:szCs w:val="15"/>
              </w:rPr>
              <w:t>Candidate component values for (</w:t>
            </w:r>
            <w:proofErr w:type="gramStart"/>
            <w:r w:rsidRPr="00F93B47">
              <w:rPr>
                <w:color w:val="FF0000"/>
                <w:sz w:val="15"/>
                <w:szCs w:val="15"/>
              </w:rPr>
              <w:t>X,Y</w:t>
            </w:r>
            <w:proofErr w:type="gramEnd"/>
            <w:r w:rsidRPr="00F93B47">
              <w:rPr>
                <w:color w:val="FF0000"/>
                <w:sz w:val="15"/>
                <w:szCs w:val="15"/>
              </w:rPr>
              <w:t>): {(16,32),(32,16),(32,32)}</w:t>
            </w:r>
          </w:p>
          <w:p w14:paraId="6E0C1C43" w14:textId="5C83F994" w:rsidR="00F93B47" w:rsidRPr="00F93B47" w:rsidRDefault="00D64D37" w:rsidP="007A540B">
            <w:pPr>
              <w:keepNext/>
              <w:keepLines/>
              <w:rPr>
                <w:color w:val="00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61A52BFA" w14:textId="77777777" w:rsidR="00F93B47" w:rsidRPr="00F93B47" w:rsidRDefault="00F93B47" w:rsidP="007A540B">
            <w:pPr>
              <w:keepNext/>
              <w:keepLines/>
              <w:rPr>
                <w:color w:val="000000"/>
                <w:sz w:val="15"/>
                <w:szCs w:val="15"/>
              </w:rPr>
            </w:pPr>
            <w:r w:rsidRPr="00F93B47">
              <w:rPr>
                <w:color w:val="000000"/>
                <w:sz w:val="15"/>
                <w:szCs w:val="15"/>
              </w:rPr>
              <w:t>Optional with capability signalling</w:t>
            </w:r>
          </w:p>
          <w:p w14:paraId="1894F668" w14:textId="77777777" w:rsidR="00F93B47" w:rsidRPr="00F93B47" w:rsidRDefault="00F93B47" w:rsidP="007A540B">
            <w:pPr>
              <w:keepNext/>
              <w:keepLines/>
              <w:rPr>
                <w:color w:val="000000"/>
                <w:sz w:val="15"/>
                <w:szCs w:val="15"/>
              </w:rPr>
            </w:pPr>
          </w:p>
        </w:tc>
      </w:tr>
      <w:tr w:rsidR="00F93B47" w14:paraId="7FA9538C" w14:textId="77777777" w:rsidTr="00F93B47">
        <w:trPr>
          <w:trHeight w:val="1902"/>
        </w:trPr>
        <w:tc>
          <w:tcPr>
            <w:tcW w:w="730" w:type="dxa"/>
            <w:shd w:val="clear" w:color="auto" w:fill="auto"/>
          </w:tcPr>
          <w:p w14:paraId="788CB7B9" w14:textId="77777777" w:rsidR="00F93B47" w:rsidRPr="00F93B47" w:rsidRDefault="00F93B47" w:rsidP="007A540B">
            <w:pPr>
              <w:keepNext/>
              <w:keepLines/>
              <w:rPr>
                <w:color w:val="000000"/>
                <w:sz w:val="15"/>
                <w:szCs w:val="15"/>
              </w:rPr>
            </w:pPr>
            <w:r w:rsidRPr="00F93B47">
              <w:rPr>
                <w:color w:val="000000"/>
                <w:sz w:val="15"/>
                <w:szCs w:val="15"/>
              </w:rPr>
              <w:t>K1 range extension</w:t>
            </w:r>
          </w:p>
        </w:tc>
        <w:tc>
          <w:tcPr>
            <w:tcW w:w="2391" w:type="dxa"/>
            <w:shd w:val="clear" w:color="auto" w:fill="auto"/>
          </w:tcPr>
          <w:p w14:paraId="49712426" w14:textId="77777777" w:rsidR="00F93B47" w:rsidRPr="00F93B47" w:rsidRDefault="00F93B47" w:rsidP="007A540B">
            <w:pPr>
              <w:keepNext/>
              <w:keepLines/>
              <w:rPr>
                <w:color w:val="000000"/>
                <w:sz w:val="15"/>
                <w:szCs w:val="15"/>
              </w:rPr>
            </w:pPr>
            <w:r w:rsidRPr="00F93B47">
              <w:rPr>
                <w:color w:val="000000"/>
                <w:sz w:val="15"/>
                <w:szCs w:val="15"/>
              </w:rPr>
              <w:t>Support of extended K1 value range of (</w:t>
            </w:r>
            <w:proofErr w:type="gramStart"/>
            <w:r w:rsidRPr="00F93B47">
              <w:rPr>
                <w:color w:val="000000"/>
                <w:sz w:val="15"/>
                <w:szCs w:val="15"/>
              </w:rPr>
              <w:t>0..</w:t>
            </w:r>
            <w:proofErr w:type="gramEnd"/>
            <w:r w:rsidRPr="00F93B47">
              <w:rPr>
                <w:color w:val="000000"/>
                <w:sz w:val="15"/>
                <w:szCs w:val="15"/>
              </w:rPr>
              <w:t>31) for unpaired spectrum</w:t>
            </w:r>
          </w:p>
        </w:tc>
        <w:tc>
          <w:tcPr>
            <w:tcW w:w="731" w:type="dxa"/>
            <w:shd w:val="clear" w:color="auto" w:fill="auto"/>
          </w:tcPr>
          <w:p w14:paraId="1484ADE2" w14:textId="77777777" w:rsidR="00F93B47" w:rsidRPr="00F93B47" w:rsidRDefault="00F93B47" w:rsidP="007A540B">
            <w:pPr>
              <w:keepNext/>
              <w:keepLines/>
              <w:rPr>
                <w:color w:val="000000"/>
                <w:sz w:val="15"/>
                <w:szCs w:val="15"/>
              </w:rPr>
            </w:pPr>
          </w:p>
        </w:tc>
        <w:tc>
          <w:tcPr>
            <w:tcW w:w="531" w:type="dxa"/>
            <w:shd w:val="clear" w:color="auto" w:fill="auto"/>
          </w:tcPr>
          <w:p w14:paraId="410F760B"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09304DA7"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1D1FC85A" w14:textId="77777777" w:rsidR="00F93B47" w:rsidRPr="00F93B47" w:rsidRDefault="00F93B47" w:rsidP="007A540B">
            <w:pPr>
              <w:keepNext/>
              <w:keepLines/>
              <w:rPr>
                <w:color w:val="000000"/>
                <w:sz w:val="15"/>
                <w:szCs w:val="15"/>
              </w:rPr>
            </w:pPr>
            <w:r w:rsidRPr="00F93B47">
              <w:rPr>
                <w:color w:val="000000"/>
                <w:sz w:val="15"/>
                <w:szCs w:val="15"/>
              </w:rPr>
              <w:t>If UE does not support this feature, K1 value is limited.</w:t>
            </w:r>
          </w:p>
        </w:tc>
        <w:tc>
          <w:tcPr>
            <w:tcW w:w="597" w:type="dxa"/>
            <w:shd w:val="clear" w:color="auto" w:fill="auto"/>
          </w:tcPr>
          <w:p w14:paraId="6755DF83"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646C94FB" w14:textId="77777777" w:rsidR="00F93B47" w:rsidRPr="00F93B47" w:rsidRDefault="00F93B47" w:rsidP="007A540B">
            <w:pPr>
              <w:keepNext/>
              <w:keepLines/>
              <w:rPr>
                <w:color w:val="000000"/>
                <w:sz w:val="15"/>
                <w:szCs w:val="15"/>
              </w:rPr>
            </w:pPr>
            <w:r w:rsidRPr="00F93B47">
              <w:rPr>
                <w:color w:val="000000"/>
                <w:sz w:val="15"/>
                <w:szCs w:val="15"/>
              </w:rPr>
              <w:t>TDD only</w:t>
            </w:r>
          </w:p>
        </w:tc>
        <w:tc>
          <w:tcPr>
            <w:tcW w:w="465" w:type="dxa"/>
            <w:shd w:val="clear" w:color="auto" w:fill="auto"/>
          </w:tcPr>
          <w:p w14:paraId="349C4CB5"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6B378854"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4C75F0C8" w14:textId="6659ED09" w:rsidR="00F93B47" w:rsidRPr="00F93B47" w:rsidRDefault="00D64D37" w:rsidP="007A540B">
            <w:pPr>
              <w:keepNext/>
              <w:keepLines/>
              <w:rPr>
                <w:color w:val="00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63A302A5" w14:textId="77777777" w:rsidR="00F93B47" w:rsidRPr="00F93B47" w:rsidRDefault="00F93B47" w:rsidP="007A540B">
            <w:pPr>
              <w:keepNext/>
              <w:keepLines/>
              <w:rPr>
                <w:color w:val="000000"/>
                <w:sz w:val="15"/>
                <w:szCs w:val="15"/>
              </w:rPr>
            </w:pPr>
            <w:r w:rsidRPr="00F93B47">
              <w:rPr>
                <w:color w:val="000000"/>
                <w:sz w:val="15"/>
                <w:szCs w:val="15"/>
              </w:rPr>
              <w:t>Optional with capability signalling</w:t>
            </w:r>
          </w:p>
        </w:tc>
      </w:tr>
    </w:tbl>
    <w:p w14:paraId="79C7E44A" w14:textId="0A7D0DC2" w:rsidR="00D75CFD" w:rsidRPr="00D75CFD" w:rsidRDefault="00D75CFD" w:rsidP="009A707D">
      <w:pPr>
        <w:jc w:val="both"/>
        <w:rPr>
          <w:iCs/>
          <w:sz w:val="24"/>
          <w:szCs w:val="24"/>
          <w:lang w:eastAsia="x-none"/>
        </w:rPr>
      </w:pPr>
    </w:p>
    <w:p w14:paraId="12B33CFD" w14:textId="5D34282C" w:rsidR="00390F36" w:rsidRPr="00A6576F" w:rsidRDefault="00390F36" w:rsidP="00390F36">
      <w:pPr>
        <w:pStyle w:val="Heading1"/>
      </w:pPr>
      <w:r w:rsidRPr="00A6576F">
        <w:t>Conclusion</w:t>
      </w:r>
    </w:p>
    <w:p w14:paraId="36907D08" w14:textId="128D5EC6" w:rsidR="00F93B47" w:rsidRDefault="00BE753A" w:rsidP="00AC08BB">
      <w:pPr>
        <w:jc w:val="both"/>
        <w:rPr>
          <w:sz w:val="24"/>
          <w:szCs w:val="24"/>
        </w:rPr>
      </w:pPr>
      <w:r w:rsidRPr="00A416D1">
        <w:rPr>
          <w:sz w:val="24"/>
          <w:szCs w:val="24"/>
        </w:rPr>
        <w:t>In this contribution, we provided our views on</w:t>
      </w:r>
      <w:r w:rsidR="00857480" w:rsidRPr="00A416D1">
        <w:rPr>
          <w:sz w:val="24"/>
          <w:szCs w:val="24"/>
        </w:rPr>
        <w:t xml:space="preserve"> </w:t>
      </w:r>
      <w:r w:rsidR="00F93B47">
        <w:rPr>
          <w:sz w:val="24"/>
          <w:szCs w:val="24"/>
        </w:rPr>
        <w:t>layer-1 new ATG UE features</w:t>
      </w:r>
      <w:r w:rsidR="00D75CFD">
        <w:rPr>
          <w:sz w:val="24"/>
          <w:szCs w:val="24"/>
        </w:rPr>
        <w:t xml:space="preserve">. </w:t>
      </w:r>
      <w:r w:rsidRPr="00A416D1">
        <w:rPr>
          <w:sz w:val="24"/>
          <w:szCs w:val="24"/>
        </w:rPr>
        <w:t xml:space="preserve">Our </w:t>
      </w:r>
      <w:r w:rsidR="00BD755E" w:rsidRPr="00A416D1">
        <w:rPr>
          <w:sz w:val="24"/>
          <w:szCs w:val="24"/>
        </w:rPr>
        <w:t>proposal</w:t>
      </w:r>
      <w:r w:rsidR="00F93B47">
        <w:rPr>
          <w:sz w:val="24"/>
          <w:szCs w:val="24"/>
        </w:rPr>
        <w:t xml:space="preserve"> is</w:t>
      </w:r>
      <w:r w:rsidR="00B956DF" w:rsidRPr="00A416D1">
        <w:rPr>
          <w:sz w:val="24"/>
          <w:szCs w:val="24"/>
        </w:rPr>
        <w:t xml:space="preserve"> </w:t>
      </w:r>
      <w:r w:rsidRPr="00A416D1">
        <w:rPr>
          <w:sz w:val="24"/>
          <w:szCs w:val="24"/>
        </w:rPr>
        <w:t>as follows:</w:t>
      </w:r>
    </w:p>
    <w:p w14:paraId="7FC86125" w14:textId="77777777" w:rsidR="00D64D37" w:rsidRPr="00F93B47" w:rsidRDefault="00D64D37" w:rsidP="00D64D37">
      <w:pPr>
        <w:tabs>
          <w:tab w:val="left" w:pos="640"/>
        </w:tabs>
        <w:spacing w:after="0"/>
        <w:jc w:val="both"/>
        <w:rPr>
          <w:bCs/>
          <w:i/>
          <w:iCs/>
          <w:lang w:val="en-US"/>
        </w:rPr>
      </w:pPr>
      <w:r w:rsidRPr="005B064A">
        <w:rPr>
          <w:b/>
          <w:bCs/>
          <w:i/>
          <w:iCs/>
          <w:sz w:val="24"/>
          <w:szCs w:val="24"/>
          <w:u w:val="single"/>
        </w:rPr>
        <w:t>Proposal 1:</w:t>
      </w:r>
      <w:r w:rsidRPr="005B064A">
        <w:rPr>
          <w:i/>
          <w:iCs/>
          <w:sz w:val="24"/>
          <w:szCs w:val="24"/>
        </w:rPr>
        <w:t xml:space="preserve"> </w:t>
      </w:r>
      <w:r>
        <w:rPr>
          <w:i/>
          <w:iCs/>
          <w:sz w:val="24"/>
          <w:szCs w:val="24"/>
        </w:rPr>
        <w:t xml:space="preserve">RAN1 to </w:t>
      </w:r>
      <w:proofErr w:type="spellStart"/>
      <w:r>
        <w:rPr>
          <w:i/>
          <w:iCs/>
          <w:sz w:val="24"/>
          <w:szCs w:val="24"/>
        </w:rPr>
        <w:t>i</w:t>
      </w:r>
      <w:r>
        <w:rPr>
          <w:bCs/>
          <w:i/>
          <w:iCs/>
          <w:sz w:val="24"/>
          <w:szCs w:val="24"/>
          <w:lang w:val="en-US"/>
        </w:rPr>
        <w:t>ntroduce</w:t>
      </w:r>
      <w:proofErr w:type="spellEnd"/>
      <w:r>
        <w:rPr>
          <w:bCs/>
          <w:i/>
          <w:iCs/>
          <w:sz w:val="24"/>
          <w:szCs w:val="24"/>
          <w:lang w:val="en-US"/>
        </w:rPr>
        <w:t xml:space="preserve"> the following Rel-18 NR ATG UE features</w:t>
      </w:r>
      <w:r>
        <w:rPr>
          <w:bCs/>
          <w:i/>
          <w:iCs/>
          <w:lang w:val="en-US"/>
        </w:rPr>
        <w:t>:</w:t>
      </w:r>
      <w:r w:rsidRPr="00030A2A">
        <w:rPr>
          <w:bCs/>
          <w:i/>
          <w:iCs/>
          <w:lang w:val="en-US"/>
        </w:rPr>
        <w:t xml:space="preserve"> </w:t>
      </w: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2391"/>
        <w:gridCol w:w="731"/>
        <w:gridCol w:w="531"/>
        <w:gridCol w:w="730"/>
        <w:gridCol w:w="664"/>
        <w:gridCol w:w="597"/>
        <w:gridCol w:w="464"/>
        <w:gridCol w:w="465"/>
        <w:gridCol w:w="863"/>
        <w:gridCol w:w="863"/>
        <w:gridCol w:w="597"/>
      </w:tblGrid>
      <w:tr w:rsidR="00F93B47" w14:paraId="0F8DDF19" w14:textId="77777777" w:rsidTr="00F93B47">
        <w:trPr>
          <w:trHeight w:val="5934"/>
        </w:trPr>
        <w:tc>
          <w:tcPr>
            <w:tcW w:w="730" w:type="dxa"/>
            <w:shd w:val="clear" w:color="auto" w:fill="auto"/>
          </w:tcPr>
          <w:p w14:paraId="2E6BA24E"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lastRenderedPageBreak/>
              <w:t>Feature group</w:t>
            </w:r>
          </w:p>
        </w:tc>
        <w:tc>
          <w:tcPr>
            <w:tcW w:w="2391" w:type="dxa"/>
            <w:shd w:val="clear" w:color="auto" w:fill="auto"/>
          </w:tcPr>
          <w:p w14:paraId="723E4FDE" w14:textId="77777777" w:rsidR="00F93B47" w:rsidRPr="00F93B47" w:rsidRDefault="00F93B47" w:rsidP="007A540B">
            <w:pPr>
              <w:keepNext/>
              <w:keepLines/>
              <w:jc w:val="center"/>
              <w:rPr>
                <w:b/>
                <w:color w:val="000000"/>
                <w:sz w:val="15"/>
                <w:szCs w:val="15"/>
              </w:rPr>
            </w:pPr>
            <w:r w:rsidRPr="00F93B47">
              <w:rPr>
                <w:rFonts w:eastAsia="Times New Roman"/>
                <w:b/>
                <w:color w:val="000000"/>
                <w:sz w:val="15"/>
                <w:szCs w:val="15"/>
              </w:rPr>
              <w:t>Components</w:t>
            </w:r>
          </w:p>
          <w:p w14:paraId="5B8AE711" w14:textId="77777777" w:rsidR="00F93B47" w:rsidRPr="00F93B47" w:rsidRDefault="00F93B47" w:rsidP="007A540B">
            <w:pPr>
              <w:keepNext/>
              <w:keepLines/>
              <w:jc w:val="center"/>
              <w:rPr>
                <w:b/>
                <w:color w:val="000000"/>
                <w:sz w:val="15"/>
                <w:szCs w:val="15"/>
              </w:rPr>
            </w:pPr>
          </w:p>
        </w:tc>
        <w:tc>
          <w:tcPr>
            <w:tcW w:w="731" w:type="dxa"/>
            <w:shd w:val="clear" w:color="auto" w:fill="auto"/>
          </w:tcPr>
          <w:p w14:paraId="7ACF54E8"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Prerequisite feature groups</w:t>
            </w:r>
          </w:p>
        </w:tc>
        <w:tc>
          <w:tcPr>
            <w:tcW w:w="531" w:type="dxa"/>
            <w:shd w:val="clear" w:color="auto" w:fill="auto"/>
          </w:tcPr>
          <w:p w14:paraId="7EF95166"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Need for the gNB to know if the feature is supported</w:t>
            </w:r>
          </w:p>
        </w:tc>
        <w:tc>
          <w:tcPr>
            <w:tcW w:w="730" w:type="dxa"/>
            <w:shd w:val="clear" w:color="auto" w:fill="auto"/>
          </w:tcPr>
          <w:p w14:paraId="3DB49F54" w14:textId="77777777" w:rsidR="00F93B47" w:rsidRPr="00F93B47" w:rsidRDefault="00F93B47" w:rsidP="007A540B">
            <w:pPr>
              <w:keepNext/>
              <w:keepLines/>
              <w:jc w:val="center"/>
              <w:rPr>
                <w:rFonts w:eastAsia="Times New Roman"/>
                <w:b/>
                <w:color w:val="000000"/>
                <w:sz w:val="15"/>
                <w:szCs w:val="15"/>
              </w:rPr>
            </w:pPr>
            <w:r w:rsidRPr="00F93B47">
              <w:rPr>
                <w:rFonts w:eastAsia="Gulim"/>
                <w:b/>
                <w:color w:val="000000"/>
                <w:sz w:val="15"/>
                <w:szCs w:val="15"/>
              </w:rPr>
              <w:t xml:space="preserve">Applicable to </w:t>
            </w:r>
            <w:r w:rsidRPr="00F93B47">
              <w:rPr>
                <w:rFonts w:eastAsia="Times New Roman"/>
                <w:b/>
                <w:color w:val="000000"/>
                <w:sz w:val="15"/>
                <w:szCs w:val="15"/>
              </w:rPr>
              <w:t>the capability signalling exchange between UEs (V2X WI only)”.</w:t>
            </w:r>
          </w:p>
        </w:tc>
        <w:tc>
          <w:tcPr>
            <w:tcW w:w="664" w:type="dxa"/>
          </w:tcPr>
          <w:p w14:paraId="55513B4C" w14:textId="77777777" w:rsidR="00F93B47" w:rsidRPr="00F93B47" w:rsidRDefault="00F93B47" w:rsidP="007A540B">
            <w:pPr>
              <w:keepNext/>
              <w:keepLines/>
              <w:rPr>
                <w:b/>
                <w:color w:val="000000"/>
                <w:sz w:val="15"/>
                <w:szCs w:val="15"/>
              </w:rPr>
            </w:pPr>
            <w:r w:rsidRPr="00F93B47">
              <w:rPr>
                <w:b/>
                <w:color w:val="000000"/>
                <w:sz w:val="15"/>
                <w:szCs w:val="15"/>
              </w:rPr>
              <w:t>Consequence if the feature is not supported by the UE</w:t>
            </w:r>
          </w:p>
        </w:tc>
        <w:tc>
          <w:tcPr>
            <w:tcW w:w="597" w:type="dxa"/>
            <w:shd w:val="clear" w:color="auto" w:fill="auto"/>
          </w:tcPr>
          <w:p w14:paraId="285CAE06" w14:textId="77777777" w:rsidR="00F93B47" w:rsidRPr="00F93B47" w:rsidRDefault="00F93B47" w:rsidP="007A540B">
            <w:pPr>
              <w:keepNext/>
              <w:keepLines/>
              <w:rPr>
                <w:b/>
                <w:color w:val="000000"/>
                <w:sz w:val="15"/>
                <w:szCs w:val="15"/>
              </w:rPr>
            </w:pPr>
            <w:r w:rsidRPr="00F93B47">
              <w:rPr>
                <w:b/>
                <w:color w:val="000000"/>
                <w:sz w:val="15"/>
                <w:szCs w:val="15"/>
              </w:rPr>
              <w:t>Type</w:t>
            </w:r>
          </w:p>
          <w:p w14:paraId="068CE6BD" w14:textId="77777777" w:rsidR="00F93B47" w:rsidRPr="00F93B47" w:rsidRDefault="00F93B47" w:rsidP="007A540B">
            <w:pPr>
              <w:keepNext/>
              <w:keepLines/>
              <w:rPr>
                <w:b/>
                <w:color w:val="000000"/>
                <w:sz w:val="15"/>
                <w:szCs w:val="15"/>
              </w:rPr>
            </w:pPr>
            <w:r w:rsidRPr="00F93B47">
              <w:rPr>
                <w:b/>
                <w:color w:val="000000"/>
                <w:sz w:val="15"/>
                <w:szCs w:val="15"/>
              </w:rPr>
              <w:t>(the ‘type’ definition from UE features should be based on the granularity of 1) Per UE or 2) Per Band or 3) Per BC or 4) Per FS or 5) Per FSPC)</w:t>
            </w:r>
          </w:p>
        </w:tc>
        <w:tc>
          <w:tcPr>
            <w:tcW w:w="464" w:type="dxa"/>
            <w:shd w:val="clear" w:color="auto" w:fill="auto"/>
          </w:tcPr>
          <w:p w14:paraId="667C89DE"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Need of FDD/TDD differentiation</w:t>
            </w:r>
          </w:p>
        </w:tc>
        <w:tc>
          <w:tcPr>
            <w:tcW w:w="465" w:type="dxa"/>
            <w:shd w:val="clear" w:color="auto" w:fill="auto"/>
          </w:tcPr>
          <w:p w14:paraId="52C2061A"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Need of FR1/FR2 differentiation</w:t>
            </w:r>
          </w:p>
        </w:tc>
        <w:tc>
          <w:tcPr>
            <w:tcW w:w="863" w:type="dxa"/>
          </w:tcPr>
          <w:p w14:paraId="78710855"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Capability interpretation for mixture of FDD/TDD and/or FR1/FR2</w:t>
            </w:r>
          </w:p>
        </w:tc>
        <w:tc>
          <w:tcPr>
            <w:tcW w:w="863" w:type="dxa"/>
            <w:shd w:val="clear" w:color="auto" w:fill="auto"/>
          </w:tcPr>
          <w:p w14:paraId="23598C82"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Note</w:t>
            </w:r>
          </w:p>
        </w:tc>
        <w:tc>
          <w:tcPr>
            <w:tcW w:w="597" w:type="dxa"/>
            <w:shd w:val="clear" w:color="auto" w:fill="auto"/>
          </w:tcPr>
          <w:p w14:paraId="3D7012CC" w14:textId="77777777" w:rsidR="00F93B47" w:rsidRPr="00F93B47" w:rsidRDefault="00F93B47" w:rsidP="007A540B">
            <w:pPr>
              <w:keepNext/>
              <w:keepLines/>
              <w:jc w:val="center"/>
              <w:rPr>
                <w:rFonts w:eastAsia="Times New Roman"/>
                <w:b/>
                <w:color w:val="000000"/>
                <w:sz w:val="15"/>
                <w:szCs w:val="15"/>
              </w:rPr>
            </w:pPr>
            <w:r w:rsidRPr="00F93B47">
              <w:rPr>
                <w:rFonts w:eastAsia="Times New Roman"/>
                <w:b/>
                <w:color w:val="000000"/>
                <w:sz w:val="15"/>
                <w:szCs w:val="15"/>
              </w:rPr>
              <w:t>Mandatory/Optional</w:t>
            </w:r>
          </w:p>
        </w:tc>
      </w:tr>
      <w:tr w:rsidR="00F93B47" w14:paraId="661E1504" w14:textId="77777777" w:rsidTr="007A540B">
        <w:trPr>
          <w:trHeight w:val="2437"/>
        </w:trPr>
        <w:tc>
          <w:tcPr>
            <w:tcW w:w="730" w:type="dxa"/>
            <w:shd w:val="clear" w:color="auto" w:fill="auto"/>
          </w:tcPr>
          <w:p w14:paraId="50B48465" w14:textId="77777777" w:rsidR="00F93B47" w:rsidRPr="00F93B47" w:rsidRDefault="00F93B47" w:rsidP="007A540B">
            <w:pPr>
              <w:keepNext/>
              <w:keepLines/>
              <w:rPr>
                <w:color w:val="000000"/>
                <w:sz w:val="15"/>
                <w:szCs w:val="15"/>
                <w:lang w:eastAsia="en-GB"/>
              </w:rPr>
            </w:pPr>
            <w:r w:rsidRPr="00F93B47">
              <w:rPr>
                <w:color w:val="000000"/>
                <w:sz w:val="15"/>
                <w:szCs w:val="15"/>
              </w:rPr>
              <w:t>Uplink Time and Frequency pre-compensation and timing relationship enhancements</w:t>
            </w:r>
          </w:p>
        </w:tc>
        <w:tc>
          <w:tcPr>
            <w:tcW w:w="2391" w:type="dxa"/>
            <w:shd w:val="clear" w:color="auto" w:fill="auto"/>
          </w:tcPr>
          <w:p w14:paraId="3847E704" w14:textId="77777777" w:rsidR="00F93B47" w:rsidRPr="00F93B47" w:rsidRDefault="00F93B47" w:rsidP="007A540B">
            <w:pPr>
              <w:keepNext/>
              <w:keepLines/>
              <w:rPr>
                <w:color w:val="000000"/>
                <w:sz w:val="15"/>
                <w:szCs w:val="15"/>
              </w:rPr>
            </w:pPr>
            <w:r w:rsidRPr="00F93B47">
              <w:rPr>
                <w:color w:val="000000"/>
                <w:sz w:val="15"/>
                <w:szCs w:val="15"/>
              </w:rPr>
              <w:t>Support of UE specific TA calculation based on its GNSS-acquired position and the indicated BS location.</w:t>
            </w:r>
          </w:p>
          <w:p w14:paraId="39765381" w14:textId="77777777" w:rsidR="00F93B47" w:rsidRPr="00F93B47" w:rsidRDefault="00F93B47" w:rsidP="007A540B">
            <w:pPr>
              <w:keepNext/>
              <w:keepLines/>
              <w:rPr>
                <w:color w:val="000000"/>
                <w:sz w:val="15"/>
                <w:szCs w:val="15"/>
              </w:rPr>
            </w:pPr>
            <w:r w:rsidRPr="00F93B47">
              <w:rPr>
                <w:color w:val="000000"/>
                <w:sz w:val="15"/>
                <w:szCs w:val="15"/>
              </w:rPr>
              <w:t>Support of open (i.e. UE autonomous TA estimation) and closed (i.e., received TA commands) loop control for TA update in RRC_CONNECTED state.</w:t>
            </w:r>
          </w:p>
          <w:p w14:paraId="0B6E478B" w14:textId="77777777" w:rsidR="00F93B47" w:rsidRPr="00F93B47" w:rsidRDefault="00F93B47" w:rsidP="007A540B">
            <w:pPr>
              <w:keepNext/>
              <w:keepLines/>
              <w:rPr>
                <w:color w:val="000000"/>
                <w:sz w:val="15"/>
                <w:szCs w:val="15"/>
              </w:rPr>
            </w:pPr>
            <w:r w:rsidRPr="00F93B47">
              <w:rPr>
                <w:color w:val="000000"/>
                <w:sz w:val="15"/>
                <w:szCs w:val="15"/>
              </w:rPr>
              <w:t>Support of pre-compensation of the calculated TA in the uplink transmissions.</w:t>
            </w:r>
          </w:p>
          <w:p w14:paraId="20BB6482" w14:textId="77777777" w:rsidR="00F93B47" w:rsidRPr="00F93B47" w:rsidRDefault="00F93B47" w:rsidP="007A540B">
            <w:pPr>
              <w:keepNext/>
              <w:keepLines/>
              <w:rPr>
                <w:color w:val="000000"/>
                <w:sz w:val="15"/>
                <w:szCs w:val="15"/>
              </w:rPr>
            </w:pPr>
            <w:r w:rsidRPr="00F93B47">
              <w:rPr>
                <w:color w:val="000000"/>
                <w:sz w:val="15"/>
                <w:szCs w:val="15"/>
              </w:rPr>
              <w:t>Support of frequency pre-compensation to account for the Doppler experienced on the service link.</w:t>
            </w:r>
          </w:p>
          <w:p w14:paraId="500B8DDE" w14:textId="77777777" w:rsidR="00F93B47" w:rsidRPr="00F93B47" w:rsidRDefault="00F93B47" w:rsidP="007A540B">
            <w:pPr>
              <w:keepNext/>
              <w:keepLines/>
              <w:rPr>
                <w:color w:val="000000"/>
                <w:sz w:val="15"/>
                <w:szCs w:val="15"/>
              </w:rPr>
            </w:pPr>
            <w:r w:rsidRPr="00F93B47">
              <w:rPr>
                <w:color w:val="000000"/>
                <w:sz w:val="15"/>
                <w:szCs w:val="15"/>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F93B47">
              <w:rPr>
                <w:color w:val="000000"/>
                <w:sz w:val="15"/>
                <w:szCs w:val="15"/>
              </w:rPr>
              <w:t>K_offset</w:t>
            </w:r>
            <w:proofErr w:type="spellEnd"/>
            <w:r w:rsidRPr="00F93B47">
              <w:rPr>
                <w:color w:val="000000"/>
                <w:sz w:val="15"/>
                <w:szCs w:val="15"/>
              </w:rPr>
              <w:t xml:space="preserve"> if indicated.</w:t>
            </w:r>
          </w:p>
          <w:p w14:paraId="664E51CA" w14:textId="77777777" w:rsidR="00F93B47" w:rsidRPr="00F93B47" w:rsidRDefault="00F93B47" w:rsidP="007A540B">
            <w:pPr>
              <w:keepNext/>
              <w:keepLines/>
              <w:rPr>
                <w:color w:val="000000"/>
                <w:sz w:val="15"/>
                <w:szCs w:val="15"/>
                <w:lang w:eastAsia="en-GB"/>
              </w:rPr>
            </w:pPr>
            <w:r w:rsidRPr="00F93B47">
              <w:rPr>
                <w:color w:val="000000"/>
                <w:sz w:val="15"/>
                <w:szCs w:val="15"/>
              </w:rPr>
              <w:t xml:space="preserve">Support of UE receiving cell-specific </w:t>
            </w:r>
            <w:proofErr w:type="spellStart"/>
            <w:r w:rsidRPr="00F93B47">
              <w:rPr>
                <w:color w:val="000000"/>
                <w:sz w:val="15"/>
                <w:szCs w:val="15"/>
              </w:rPr>
              <w:t>K_offset</w:t>
            </w:r>
            <w:proofErr w:type="spellEnd"/>
            <w:r w:rsidRPr="00F93B47">
              <w:rPr>
                <w:color w:val="000000"/>
                <w:sz w:val="15"/>
                <w:szCs w:val="15"/>
              </w:rPr>
              <w:t xml:space="preserve"> in system information.</w:t>
            </w:r>
          </w:p>
        </w:tc>
        <w:tc>
          <w:tcPr>
            <w:tcW w:w="731" w:type="dxa"/>
            <w:shd w:val="clear" w:color="auto" w:fill="auto"/>
          </w:tcPr>
          <w:p w14:paraId="65A4B1E9" w14:textId="77777777" w:rsidR="00F93B47" w:rsidRPr="00F93B47" w:rsidRDefault="00F93B47" w:rsidP="007A540B">
            <w:pPr>
              <w:keepNext/>
              <w:keepLines/>
              <w:rPr>
                <w:color w:val="000000"/>
                <w:sz w:val="15"/>
                <w:szCs w:val="15"/>
              </w:rPr>
            </w:pPr>
          </w:p>
        </w:tc>
        <w:tc>
          <w:tcPr>
            <w:tcW w:w="531" w:type="dxa"/>
            <w:shd w:val="clear" w:color="auto" w:fill="auto"/>
          </w:tcPr>
          <w:p w14:paraId="7A4A1753"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076DC9A3"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19DD16B5" w14:textId="77777777" w:rsidR="00F93B47" w:rsidRPr="00F93B47" w:rsidRDefault="00F93B47" w:rsidP="007A540B">
            <w:pPr>
              <w:keepNext/>
              <w:keepLines/>
              <w:rPr>
                <w:color w:val="000000"/>
                <w:sz w:val="15"/>
                <w:szCs w:val="15"/>
              </w:rPr>
            </w:pPr>
            <w:r w:rsidRPr="00F93B47">
              <w:rPr>
                <w:color w:val="000000"/>
                <w:sz w:val="15"/>
                <w:szCs w:val="15"/>
              </w:rPr>
              <w:t>If UE does not support this feature, the performance of ATG UE cannot be guaranteed due to the large propagation delay.</w:t>
            </w:r>
          </w:p>
        </w:tc>
        <w:tc>
          <w:tcPr>
            <w:tcW w:w="597" w:type="dxa"/>
            <w:shd w:val="clear" w:color="auto" w:fill="auto"/>
          </w:tcPr>
          <w:p w14:paraId="51BCE2D6"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565717B6" w14:textId="77777777" w:rsidR="00F93B47" w:rsidRPr="00F93B47" w:rsidRDefault="00F93B47" w:rsidP="007A540B">
            <w:pPr>
              <w:keepNext/>
              <w:keepLines/>
              <w:rPr>
                <w:color w:val="000000"/>
                <w:sz w:val="15"/>
                <w:szCs w:val="15"/>
              </w:rPr>
            </w:pPr>
            <w:r w:rsidRPr="00F93B47">
              <w:rPr>
                <w:color w:val="000000"/>
                <w:sz w:val="15"/>
                <w:szCs w:val="15"/>
              </w:rPr>
              <w:t>No</w:t>
            </w:r>
          </w:p>
        </w:tc>
        <w:tc>
          <w:tcPr>
            <w:tcW w:w="465" w:type="dxa"/>
            <w:shd w:val="clear" w:color="auto" w:fill="auto"/>
          </w:tcPr>
          <w:p w14:paraId="66359780"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31020967"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362F9095" w14:textId="4CF476EC" w:rsidR="00F93B47" w:rsidRPr="00F93B47" w:rsidRDefault="00D64D37" w:rsidP="007A540B">
            <w:pPr>
              <w:keepNext/>
              <w:keepLines/>
              <w:rPr>
                <w:color w:val="FF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59CA67A3" w14:textId="77777777" w:rsidR="00F93B47" w:rsidRPr="00F93B47" w:rsidRDefault="00F93B47" w:rsidP="007A540B">
            <w:pPr>
              <w:keepNext/>
              <w:keepLines/>
              <w:rPr>
                <w:color w:val="000000"/>
                <w:sz w:val="15"/>
                <w:szCs w:val="15"/>
              </w:rPr>
            </w:pPr>
            <w:r w:rsidRPr="00F93B47">
              <w:rPr>
                <w:color w:val="000000"/>
                <w:sz w:val="15"/>
                <w:szCs w:val="15"/>
              </w:rPr>
              <w:t>Mandatory with capability signaling for UE supports NR communication via ATG</w:t>
            </w:r>
          </w:p>
          <w:p w14:paraId="44F6CB4E" w14:textId="77777777" w:rsidR="00F93B47" w:rsidRPr="00F93B47" w:rsidRDefault="00F93B47" w:rsidP="007A540B">
            <w:pPr>
              <w:keepNext/>
              <w:keepLines/>
              <w:rPr>
                <w:color w:val="000000"/>
                <w:sz w:val="15"/>
                <w:szCs w:val="15"/>
              </w:rPr>
            </w:pPr>
          </w:p>
          <w:p w14:paraId="4AE2492D" w14:textId="77777777" w:rsidR="00F93B47" w:rsidRPr="00F93B47" w:rsidRDefault="00F93B47" w:rsidP="007A540B">
            <w:pPr>
              <w:keepNext/>
              <w:keepLines/>
              <w:rPr>
                <w:color w:val="000000"/>
                <w:sz w:val="15"/>
                <w:szCs w:val="15"/>
              </w:rPr>
            </w:pPr>
          </w:p>
        </w:tc>
      </w:tr>
      <w:tr w:rsidR="00F93B47" w14:paraId="0AEB1178" w14:textId="77777777" w:rsidTr="007A540B">
        <w:trPr>
          <w:trHeight w:val="2604"/>
        </w:trPr>
        <w:tc>
          <w:tcPr>
            <w:tcW w:w="730" w:type="dxa"/>
            <w:shd w:val="clear" w:color="auto" w:fill="auto"/>
          </w:tcPr>
          <w:p w14:paraId="2B193A35" w14:textId="77777777" w:rsidR="00F93B47" w:rsidRPr="00F93B47" w:rsidRDefault="00F93B47" w:rsidP="007A540B">
            <w:pPr>
              <w:keepNext/>
              <w:keepLines/>
              <w:rPr>
                <w:color w:val="000000"/>
                <w:sz w:val="15"/>
                <w:szCs w:val="15"/>
              </w:rPr>
            </w:pPr>
            <w:r w:rsidRPr="00F93B47">
              <w:rPr>
                <w:color w:val="000000"/>
                <w:sz w:val="15"/>
                <w:szCs w:val="15"/>
              </w:rPr>
              <w:lastRenderedPageBreak/>
              <w:t>UE reporting of TA information</w:t>
            </w:r>
          </w:p>
        </w:tc>
        <w:tc>
          <w:tcPr>
            <w:tcW w:w="2391" w:type="dxa"/>
            <w:shd w:val="clear" w:color="auto" w:fill="auto"/>
          </w:tcPr>
          <w:p w14:paraId="01DAD17C" w14:textId="77777777" w:rsidR="00F93B47" w:rsidRPr="00F93B47" w:rsidRDefault="00F93B47" w:rsidP="007A540B">
            <w:pPr>
              <w:keepNext/>
              <w:keepLines/>
              <w:rPr>
                <w:color w:val="000000"/>
                <w:sz w:val="15"/>
                <w:szCs w:val="15"/>
              </w:rPr>
            </w:pPr>
            <w:r w:rsidRPr="00F93B47">
              <w:rPr>
                <w:color w:val="000000"/>
                <w:sz w:val="15"/>
                <w:szCs w:val="15"/>
              </w:rPr>
              <w:t>Support UE reporting of TA information</w:t>
            </w:r>
          </w:p>
        </w:tc>
        <w:tc>
          <w:tcPr>
            <w:tcW w:w="731" w:type="dxa"/>
            <w:shd w:val="clear" w:color="auto" w:fill="auto"/>
          </w:tcPr>
          <w:p w14:paraId="42A32770" w14:textId="77777777" w:rsidR="00F93B47" w:rsidRPr="00F93B47" w:rsidRDefault="00F93B47" w:rsidP="007A540B">
            <w:pPr>
              <w:keepNext/>
              <w:keepLines/>
              <w:rPr>
                <w:color w:val="000000"/>
                <w:sz w:val="15"/>
                <w:szCs w:val="15"/>
              </w:rPr>
            </w:pPr>
            <w:r w:rsidRPr="00F93B47">
              <w:rPr>
                <w:color w:val="000000"/>
                <w:sz w:val="15"/>
                <w:szCs w:val="15"/>
              </w:rPr>
              <w:t>[Uplink Time and Frequency pre-compensation and timing relationship enhancements]</w:t>
            </w:r>
          </w:p>
        </w:tc>
        <w:tc>
          <w:tcPr>
            <w:tcW w:w="531" w:type="dxa"/>
            <w:shd w:val="clear" w:color="auto" w:fill="auto"/>
          </w:tcPr>
          <w:p w14:paraId="082CBFAC"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37C1D4A5"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22078965" w14:textId="77777777" w:rsidR="00F93B47" w:rsidRPr="00F93B47" w:rsidRDefault="00F93B47" w:rsidP="007A540B">
            <w:pPr>
              <w:keepNext/>
              <w:keepLines/>
              <w:rPr>
                <w:color w:val="000000"/>
                <w:sz w:val="15"/>
                <w:szCs w:val="15"/>
              </w:rPr>
            </w:pPr>
            <w:r w:rsidRPr="00F93B47">
              <w:rPr>
                <w:color w:val="000000"/>
                <w:sz w:val="15"/>
                <w:szCs w:val="15"/>
              </w:rPr>
              <w:t>If UE does not support this feature, UE cannot report the TA information to network.</w:t>
            </w:r>
          </w:p>
        </w:tc>
        <w:tc>
          <w:tcPr>
            <w:tcW w:w="597" w:type="dxa"/>
            <w:shd w:val="clear" w:color="auto" w:fill="auto"/>
          </w:tcPr>
          <w:p w14:paraId="162EBE29"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1A41F5E6" w14:textId="77777777" w:rsidR="00F93B47" w:rsidRPr="00F93B47" w:rsidRDefault="00F93B47" w:rsidP="007A540B">
            <w:pPr>
              <w:keepNext/>
              <w:keepLines/>
              <w:rPr>
                <w:color w:val="000000"/>
                <w:sz w:val="15"/>
                <w:szCs w:val="15"/>
              </w:rPr>
            </w:pPr>
            <w:r w:rsidRPr="00F93B47">
              <w:rPr>
                <w:color w:val="000000"/>
                <w:sz w:val="15"/>
                <w:szCs w:val="15"/>
              </w:rPr>
              <w:t>No</w:t>
            </w:r>
          </w:p>
        </w:tc>
        <w:tc>
          <w:tcPr>
            <w:tcW w:w="465" w:type="dxa"/>
            <w:shd w:val="clear" w:color="auto" w:fill="auto"/>
          </w:tcPr>
          <w:p w14:paraId="6F834B93"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1AF72A22"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17182B34" w14:textId="7F16205C" w:rsidR="00F93B47" w:rsidRPr="00F93B47" w:rsidRDefault="00D64D37" w:rsidP="007A540B">
            <w:pPr>
              <w:keepNext/>
              <w:keepLines/>
              <w:rPr>
                <w:color w:val="00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153E1CFF" w14:textId="77777777" w:rsidR="00F93B47" w:rsidRPr="00F93B47" w:rsidRDefault="00F93B47" w:rsidP="007A540B">
            <w:pPr>
              <w:keepNext/>
              <w:keepLines/>
              <w:rPr>
                <w:color w:val="000000"/>
                <w:sz w:val="15"/>
                <w:szCs w:val="15"/>
              </w:rPr>
            </w:pPr>
            <w:r w:rsidRPr="00F93B47">
              <w:rPr>
                <w:color w:val="000000"/>
                <w:sz w:val="15"/>
                <w:szCs w:val="15"/>
              </w:rPr>
              <w:t xml:space="preserve">Optional with capability </w:t>
            </w:r>
            <w:proofErr w:type="spellStart"/>
            <w:r w:rsidRPr="00F93B47">
              <w:rPr>
                <w:color w:val="000000"/>
                <w:sz w:val="15"/>
                <w:szCs w:val="15"/>
              </w:rPr>
              <w:t>siganling</w:t>
            </w:r>
            <w:proofErr w:type="spellEnd"/>
          </w:p>
        </w:tc>
      </w:tr>
      <w:tr w:rsidR="00F93B47" w14:paraId="7D10F852" w14:textId="77777777" w:rsidTr="007A540B">
        <w:trPr>
          <w:trHeight w:val="2437"/>
        </w:trPr>
        <w:tc>
          <w:tcPr>
            <w:tcW w:w="730" w:type="dxa"/>
            <w:shd w:val="clear" w:color="auto" w:fill="auto"/>
          </w:tcPr>
          <w:p w14:paraId="7709F039" w14:textId="77777777" w:rsidR="00F93B47" w:rsidRPr="00F93B47" w:rsidRDefault="00F93B47" w:rsidP="007A540B">
            <w:pPr>
              <w:keepNext/>
              <w:keepLines/>
              <w:rPr>
                <w:color w:val="000000"/>
                <w:sz w:val="15"/>
                <w:szCs w:val="15"/>
              </w:rPr>
            </w:pPr>
            <w:r w:rsidRPr="00F93B47">
              <w:rPr>
                <w:color w:val="000000"/>
                <w:sz w:val="15"/>
                <w:szCs w:val="15"/>
              </w:rPr>
              <w:t>Increasing the number of HARQ processes</w:t>
            </w:r>
          </w:p>
        </w:tc>
        <w:tc>
          <w:tcPr>
            <w:tcW w:w="2391" w:type="dxa"/>
            <w:shd w:val="clear" w:color="auto" w:fill="auto"/>
          </w:tcPr>
          <w:p w14:paraId="5351AD6C" w14:textId="77777777" w:rsidR="00F93B47" w:rsidRPr="00F93B47" w:rsidRDefault="00F93B47" w:rsidP="007A540B">
            <w:pPr>
              <w:keepNext/>
              <w:keepLines/>
              <w:rPr>
                <w:color w:val="000000"/>
                <w:sz w:val="15"/>
                <w:szCs w:val="15"/>
              </w:rPr>
            </w:pPr>
            <w:r w:rsidRPr="00F93B47">
              <w:rPr>
                <w:color w:val="000000"/>
                <w:sz w:val="15"/>
                <w:szCs w:val="15"/>
              </w:rPr>
              <w:t>The maximal supported HARQ process number is X for UL and Y for DL</w:t>
            </w:r>
          </w:p>
        </w:tc>
        <w:tc>
          <w:tcPr>
            <w:tcW w:w="731" w:type="dxa"/>
            <w:shd w:val="clear" w:color="auto" w:fill="auto"/>
          </w:tcPr>
          <w:p w14:paraId="7F76E5AB" w14:textId="77777777" w:rsidR="00F93B47" w:rsidRPr="00F93B47" w:rsidRDefault="00F93B47" w:rsidP="007A540B">
            <w:pPr>
              <w:keepNext/>
              <w:keepLines/>
              <w:rPr>
                <w:color w:val="000000"/>
                <w:sz w:val="15"/>
                <w:szCs w:val="15"/>
              </w:rPr>
            </w:pPr>
          </w:p>
        </w:tc>
        <w:tc>
          <w:tcPr>
            <w:tcW w:w="531" w:type="dxa"/>
            <w:shd w:val="clear" w:color="auto" w:fill="auto"/>
          </w:tcPr>
          <w:p w14:paraId="0F55BE5F"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6774EF8B"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0C1687B5" w14:textId="77777777" w:rsidR="00F93B47" w:rsidRPr="00F93B47" w:rsidRDefault="00F93B47" w:rsidP="007A540B">
            <w:pPr>
              <w:keepNext/>
              <w:keepLines/>
              <w:rPr>
                <w:color w:val="000000"/>
                <w:sz w:val="15"/>
                <w:szCs w:val="15"/>
              </w:rPr>
            </w:pPr>
            <w:r w:rsidRPr="00F93B47">
              <w:rPr>
                <w:color w:val="000000"/>
                <w:sz w:val="15"/>
                <w:szCs w:val="15"/>
              </w:rPr>
              <w:t xml:space="preserve">If UE does not support this feature, the HARQ process is number is limited. </w:t>
            </w:r>
          </w:p>
        </w:tc>
        <w:tc>
          <w:tcPr>
            <w:tcW w:w="597" w:type="dxa"/>
            <w:shd w:val="clear" w:color="auto" w:fill="auto"/>
          </w:tcPr>
          <w:p w14:paraId="5760E6EC"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3B87C01B" w14:textId="77777777" w:rsidR="00F93B47" w:rsidRPr="00F93B47" w:rsidRDefault="00F93B47" w:rsidP="007A540B">
            <w:pPr>
              <w:keepNext/>
              <w:keepLines/>
              <w:rPr>
                <w:color w:val="000000"/>
                <w:sz w:val="15"/>
                <w:szCs w:val="15"/>
              </w:rPr>
            </w:pPr>
            <w:r w:rsidRPr="00F93B47">
              <w:rPr>
                <w:color w:val="000000"/>
                <w:sz w:val="15"/>
                <w:szCs w:val="15"/>
              </w:rPr>
              <w:t>No</w:t>
            </w:r>
          </w:p>
        </w:tc>
        <w:tc>
          <w:tcPr>
            <w:tcW w:w="465" w:type="dxa"/>
            <w:shd w:val="clear" w:color="auto" w:fill="auto"/>
          </w:tcPr>
          <w:p w14:paraId="61E19383"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25E50246"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7B2D2388" w14:textId="28F4969A" w:rsidR="00F93B47" w:rsidRDefault="00F93B47" w:rsidP="00F93B47">
            <w:pPr>
              <w:keepNext/>
              <w:keepLines/>
              <w:rPr>
                <w:color w:val="FF0000"/>
                <w:sz w:val="15"/>
                <w:szCs w:val="15"/>
              </w:rPr>
            </w:pPr>
            <w:r w:rsidRPr="00F93B47">
              <w:rPr>
                <w:color w:val="FF0000"/>
                <w:sz w:val="15"/>
                <w:szCs w:val="15"/>
              </w:rPr>
              <w:t>Candidate component values for (</w:t>
            </w:r>
            <w:proofErr w:type="gramStart"/>
            <w:r w:rsidRPr="00F93B47">
              <w:rPr>
                <w:color w:val="FF0000"/>
                <w:sz w:val="15"/>
                <w:szCs w:val="15"/>
              </w:rPr>
              <w:t>X,Y</w:t>
            </w:r>
            <w:proofErr w:type="gramEnd"/>
            <w:r w:rsidRPr="00F93B47">
              <w:rPr>
                <w:color w:val="FF0000"/>
                <w:sz w:val="15"/>
                <w:szCs w:val="15"/>
              </w:rPr>
              <w:t>): {(16,32),(32,16),(32,32)}</w:t>
            </w:r>
          </w:p>
          <w:p w14:paraId="5D9510AB" w14:textId="4CF6DCCE" w:rsidR="00F93B47" w:rsidRPr="00F93B47" w:rsidRDefault="00D64D37" w:rsidP="00F93B47">
            <w:pPr>
              <w:keepNext/>
              <w:keepLines/>
              <w:rPr>
                <w:color w:val="00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3AAD56C6" w14:textId="77777777" w:rsidR="00F93B47" w:rsidRPr="00F93B47" w:rsidRDefault="00F93B47" w:rsidP="007A540B">
            <w:pPr>
              <w:keepNext/>
              <w:keepLines/>
              <w:rPr>
                <w:color w:val="000000"/>
                <w:sz w:val="15"/>
                <w:szCs w:val="15"/>
              </w:rPr>
            </w:pPr>
            <w:r w:rsidRPr="00F93B47">
              <w:rPr>
                <w:color w:val="000000"/>
                <w:sz w:val="15"/>
                <w:szCs w:val="15"/>
              </w:rPr>
              <w:t>Optional with capability signalling</w:t>
            </w:r>
          </w:p>
          <w:p w14:paraId="26E6BDED" w14:textId="77777777" w:rsidR="00F93B47" w:rsidRPr="00F93B47" w:rsidRDefault="00F93B47" w:rsidP="007A540B">
            <w:pPr>
              <w:keepNext/>
              <w:keepLines/>
              <w:rPr>
                <w:color w:val="000000"/>
                <w:sz w:val="15"/>
                <w:szCs w:val="15"/>
              </w:rPr>
            </w:pPr>
          </w:p>
        </w:tc>
      </w:tr>
      <w:tr w:rsidR="00F93B47" w14:paraId="07D8CB1B" w14:textId="77777777" w:rsidTr="007A540B">
        <w:trPr>
          <w:trHeight w:val="1902"/>
        </w:trPr>
        <w:tc>
          <w:tcPr>
            <w:tcW w:w="730" w:type="dxa"/>
            <w:shd w:val="clear" w:color="auto" w:fill="auto"/>
          </w:tcPr>
          <w:p w14:paraId="0F137015" w14:textId="77777777" w:rsidR="00F93B47" w:rsidRPr="00F93B47" w:rsidRDefault="00F93B47" w:rsidP="007A540B">
            <w:pPr>
              <w:keepNext/>
              <w:keepLines/>
              <w:rPr>
                <w:color w:val="000000"/>
                <w:sz w:val="15"/>
                <w:szCs w:val="15"/>
              </w:rPr>
            </w:pPr>
            <w:r w:rsidRPr="00F93B47">
              <w:rPr>
                <w:color w:val="000000"/>
                <w:sz w:val="15"/>
                <w:szCs w:val="15"/>
              </w:rPr>
              <w:t>K1 range extension</w:t>
            </w:r>
          </w:p>
        </w:tc>
        <w:tc>
          <w:tcPr>
            <w:tcW w:w="2391" w:type="dxa"/>
            <w:shd w:val="clear" w:color="auto" w:fill="auto"/>
          </w:tcPr>
          <w:p w14:paraId="77BF86B4" w14:textId="77777777" w:rsidR="00F93B47" w:rsidRPr="00F93B47" w:rsidRDefault="00F93B47" w:rsidP="007A540B">
            <w:pPr>
              <w:keepNext/>
              <w:keepLines/>
              <w:rPr>
                <w:color w:val="000000"/>
                <w:sz w:val="15"/>
                <w:szCs w:val="15"/>
              </w:rPr>
            </w:pPr>
            <w:r w:rsidRPr="00F93B47">
              <w:rPr>
                <w:color w:val="000000"/>
                <w:sz w:val="15"/>
                <w:szCs w:val="15"/>
              </w:rPr>
              <w:t>Support of extended K1 value range of (</w:t>
            </w:r>
            <w:proofErr w:type="gramStart"/>
            <w:r w:rsidRPr="00F93B47">
              <w:rPr>
                <w:color w:val="000000"/>
                <w:sz w:val="15"/>
                <w:szCs w:val="15"/>
              </w:rPr>
              <w:t>0..</w:t>
            </w:r>
            <w:proofErr w:type="gramEnd"/>
            <w:r w:rsidRPr="00F93B47">
              <w:rPr>
                <w:color w:val="000000"/>
                <w:sz w:val="15"/>
                <w:szCs w:val="15"/>
              </w:rPr>
              <w:t>31) for unpaired spectrum</w:t>
            </w:r>
          </w:p>
        </w:tc>
        <w:tc>
          <w:tcPr>
            <w:tcW w:w="731" w:type="dxa"/>
            <w:shd w:val="clear" w:color="auto" w:fill="auto"/>
          </w:tcPr>
          <w:p w14:paraId="099FA69F" w14:textId="77777777" w:rsidR="00F93B47" w:rsidRPr="00F93B47" w:rsidRDefault="00F93B47" w:rsidP="007A540B">
            <w:pPr>
              <w:keepNext/>
              <w:keepLines/>
              <w:rPr>
                <w:color w:val="000000"/>
                <w:sz w:val="15"/>
                <w:szCs w:val="15"/>
              </w:rPr>
            </w:pPr>
          </w:p>
        </w:tc>
        <w:tc>
          <w:tcPr>
            <w:tcW w:w="531" w:type="dxa"/>
            <w:shd w:val="clear" w:color="auto" w:fill="auto"/>
          </w:tcPr>
          <w:p w14:paraId="4CC7E592" w14:textId="77777777" w:rsidR="00F93B47" w:rsidRPr="00F93B47" w:rsidRDefault="00F93B47" w:rsidP="007A540B">
            <w:pPr>
              <w:keepNext/>
              <w:keepLines/>
              <w:rPr>
                <w:color w:val="000000"/>
                <w:sz w:val="15"/>
                <w:szCs w:val="15"/>
              </w:rPr>
            </w:pPr>
            <w:r w:rsidRPr="00F93B47">
              <w:rPr>
                <w:color w:val="000000"/>
                <w:sz w:val="15"/>
                <w:szCs w:val="15"/>
              </w:rPr>
              <w:t>Yes</w:t>
            </w:r>
          </w:p>
        </w:tc>
        <w:tc>
          <w:tcPr>
            <w:tcW w:w="730" w:type="dxa"/>
            <w:shd w:val="clear" w:color="auto" w:fill="auto"/>
          </w:tcPr>
          <w:p w14:paraId="2BBEFAA4" w14:textId="77777777" w:rsidR="00F93B47" w:rsidRPr="00F93B47" w:rsidRDefault="00F93B47" w:rsidP="007A540B">
            <w:pPr>
              <w:keepNext/>
              <w:keepLines/>
              <w:rPr>
                <w:color w:val="000000"/>
                <w:sz w:val="15"/>
                <w:szCs w:val="15"/>
              </w:rPr>
            </w:pPr>
            <w:r w:rsidRPr="00F93B47">
              <w:rPr>
                <w:color w:val="000000"/>
                <w:sz w:val="15"/>
                <w:szCs w:val="15"/>
              </w:rPr>
              <w:t>N/A</w:t>
            </w:r>
          </w:p>
        </w:tc>
        <w:tc>
          <w:tcPr>
            <w:tcW w:w="664" w:type="dxa"/>
          </w:tcPr>
          <w:p w14:paraId="58A22EEF" w14:textId="77777777" w:rsidR="00F93B47" w:rsidRPr="00F93B47" w:rsidRDefault="00F93B47" w:rsidP="007A540B">
            <w:pPr>
              <w:keepNext/>
              <w:keepLines/>
              <w:rPr>
                <w:color w:val="000000"/>
                <w:sz w:val="15"/>
                <w:szCs w:val="15"/>
              </w:rPr>
            </w:pPr>
            <w:r w:rsidRPr="00F93B47">
              <w:rPr>
                <w:color w:val="000000"/>
                <w:sz w:val="15"/>
                <w:szCs w:val="15"/>
              </w:rPr>
              <w:t>If UE does not support this feature, K1 value is limited.</w:t>
            </w:r>
          </w:p>
        </w:tc>
        <w:tc>
          <w:tcPr>
            <w:tcW w:w="597" w:type="dxa"/>
            <w:shd w:val="clear" w:color="auto" w:fill="auto"/>
          </w:tcPr>
          <w:p w14:paraId="60EF59FE" w14:textId="77777777" w:rsidR="00F93B47" w:rsidRPr="00F93B47" w:rsidRDefault="00F93B47" w:rsidP="007A540B">
            <w:pPr>
              <w:keepNext/>
              <w:keepLines/>
              <w:rPr>
                <w:color w:val="000000"/>
                <w:sz w:val="15"/>
                <w:szCs w:val="15"/>
              </w:rPr>
            </w:pPr>
            <w:r w:rsidRPr="00F93B47">
              <w:rPr>
                <w:color w:val="000000"/>
                <w:sz w:val="15"/>
                <w:szCs w:val="15"/>
              </w:rPr>
              <w:t>Per UE</w:t>
            </w:r>
          </w:p>
        </w:tc>
        <w:tc>
          <w:tcPr>
            <w:tcW w:w="464" w:type="dxa"/>
            <w:shd w:val="clear" w:color="auto" w:fill="auto"/>
          </w:tcPr>
          <w:p w14:paraId="595C56F0" w14:textId="77777777" w:rsidR="00F93B47" w:rsidRPr="00F93B47" w:rsidRDefault="00F93B47" w:rsidP="007A540B">
            <w:pPr>
              <w:keepNext/>
              <w:keepLines/>
              <w:rPr>
                <w:color w:val="000000"/>
                <w:sz w:val="15"/>
                <w:szCs w:val="15"/>
              </w:rPr>
            </w:pPr>
            <w:r w:rsidRPr="00F93B47">
              <w:rPr>
                <w:color w:val="000000"/>
                <w:sz w:val="15"/>
                <w:szCs w:val="15"/>
              </w:rPr>
              <w:t>TDD only</w:t>
            </w:r>
          </w:p>
        </w:tc>
        <w:tc>
          <w:tcPr>
            <w:tcW w:w="465" w:type="dxa"/>
            <w:shd w:val="clear" w:color="auto" w:fill="auto"/>
          </w:tcPr>
          <w:p w14:paraId="46802415" w14:textId="77777777" w:rsidR="00F93B47" w:rsidRPr="00F93B47" w:rsidRDefault="00F93B47" w:rsidP="007A540B">
            <w:pPr>
              <w:keepNext/>
              <w:keepLines/>
              <w:rPr>
                <w:color w:val="000000"/>
                <w:sz w:val="15"/>
                <w:szCs w:val="15"/>
              </w:rPr>
            </w:pPr>
            <w:r w:rsidRPr="00F93B47">
              <w:rPr>
                <w:color w:val="000000"/>
                <w:sz w:val="15"/>
                <w:szCs w:val="15"/>
              </w:rPr>
              <w:t>FR1 only</w:t>
            </w:r>
          </w:p>
        </w:tc>
        <w:tc>
          <w:tcPr>
            <w:tcW w:w="863" w:type="dxa"/>
          </w:tcPr>
          <w:p w14:paraId="3CF50CE0" w14:textId="77777777" w:rsidR="00F93B47" w:rsidRPr="00F93B47" w:rsidRDefault="00F93B47" w:rsidP="007A540B">
            <w:pPr>
              <w:keepNext/>
              <w:keepLines/>
              <w:rPr>
                <w:color w:val="000000"/>
                <w:sz w:val="15"/>
                <w:szCs w:val="15"/>
              </w:rPr>
            </w:pPr>
            <w:r w:rsidRPr="00F93B47">
              <w:rPr>
                <w:color w:val="000000"/>
                <w:sz w:val="15"/>
                <w:szCs w:val="15"/>
              </w:rPr>
              <w:t>N/A</w:t>
            </w:r>
          </w:p>
        </w:tc>
        <w:tc>
          <w:tcPr>
            <w:tcW w:w="863" w:type="dxa"/>
            <w:shd w:val="clear" w:color="auto" w:fill="auto"/>
          </w:tcPr>
          <w:p w14:paraId="1FFBBFA6" w14:textId="5121B210" w:rsidR="00F93B47" w:rsidRPr="00F93B47" w:rsidRDefault="00D64D37" w:rsidP="007A540B">
            <w:pPr>
              <w:keepNext/>
              <w:keepLines/>
              <w:rPr>
                <w:color w:val="000000"/>
                <w:sz w:val="15"/>
                <w:szCs w:val="15"/>
              </w:rPr>
            </w:pPr>
            <w:r w:rsidRPr="00F93B47">
              <w:rPr>
                <w:color w:val="FF0000"/>
                <w:sz w:val="15"/>
                <w:szCs w:val="15"/>
              </w:rPr>
              <w:t xml:space="preserve">Note: This UE feature group is applicable only for bands </w:t>
            </w:r>
            <w:r>
              <w:rPr>
                <w:color w:val="FF0000"/>
                <w:sz w:val="15"/>
                <w:szCs w:val="15"/>
              </w:rPr>
              <w:t>defined in Section 5.2J</w:t>
            </w:r>
            <w:r w:rsidRPr="00F93B47">
              <w:rPr>
                <w:color w:val="FF0000"/>
                <w:sz w:val="15"/>
                <w:szCs w:val="15"/>
              </w:rPr>
              <w:t xml:space="preserve"> in TS 38.101-1</w:t>
            </w:r>
            <w:r>
              <w:rPr>
                <w:color w:val="FF0000"/>
                <w:sz w:val="15"/>
                <w:szCs w:val="15"/>
              </w:rPr>
              <w:t>.</w:t>
            </w:r>
          </w:p>
        </w:tc>
        <w:tc>
          <w:tcPr>
            <w:tcW w:w="597" w:type="dxa"/>
            <w:shd w:val="clear" w:color="auto" w:fill="auto"/>
          </w:tcPr>
          <w:p w14:paraId="17F407B8" w14:textId="77777777" w:rsidR="00F93B47" w:rsidRPr="00F93B47" w:rsidRDefault="00F93B47" w:rsidP="007A540B">
            <w:pPr>
              <w:keepNext/>
              <w:keepLines/>
              <w:rPr>
                <w:color w:val="000000"/>
                <w:sz w:val="15"/>
                <w:szCs w:val="15"/>
              </w:rPr>
            </w:pPr>
            <w:r w:rsidRPr="00F93B47">
              <w:rPr>
                <w:color w:val="000000"/>
                <w:sz w:val="15"/>
                <w:szCs w:val="15"/>
              </w:rPr>
              <w:t>Optional with capability signalling</w:t>
            </w:r>
          </w:p>
        </w:tc>
      </w:tr>
    </w:tbl>
    <w:p w14:paraId="591F3B12" w14:textId="77777777" w:rsidR="0003037A" w:rsidRPr="00AE572C" w:rsidRDefault="0003037A" w:rsidP="00AC08BB">
      <w:pPr>
        <w:jc w:val="both"/>
        <w:rPr>
          <w:i/>
          <w:iCs/>
          <w:lang w:val="en-US"/>
        </w:rPr>
      </w:pPr>
    </w:p>
    <w:p w14:paraId="13BE573A" w14:textId="77777777" w:rsidR="00390F36" w:rsidRPr="00A6576F" w:rsidRDefault="00390F36" w:rsidP="00390F36">
      <w:pPr>
        <w:pStyle w:val="Heading1"/>
      </w:pPr>
      <w:r w:rsidRPr="00A6576F">
        <w:t>References</w:t>
      </w:r>
    </w:p>
    <w:p w14:paraId="405358C7" w14:textId="093B5793" w:rsidR="008D5571" w:rsidRPr="00F93B47" w:rsidRDefault="00390F36" w:rsidP="00F93B47">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2C3195">
        <w:rPr>
          <w:sz w:val="24"/>
          <w:szCs w:val="24"/>
        </w:rPr>
        <w:t>R</w:t>
      </w:r>
      <w:r w:rsidR="00857480">
        <w:rPr>
          <w:sz w:val="24"/>
          <w:szCs w:val="24"/>
        </w:rPr>
        <w:t>1</w:t>
      </w:r>
      <w:r w:rsidRPr="002C3195">
        <w:rPr>
          <w:sz w:val="24"/>
          <w:szCs w:val="24"/>
        </w:rPr>
        <w:t>-2</w:t>
      </w:r>
      <w:r w:rsidR="00857480">
        <w:rPr>
          <w:sz w:val="24"/>
          <w:szCs w:val="24"/>
        </w:rPr>
        <w:t>4</w:t>
      </w:r>
      <w:r w:rsidR="00D75CFD">
        <w:rPr>
          <w:sz w:val="24"/>
          <w:szCs w:val="24"/>
        </w:rPr>
        <w:t>000</w:t>
      </w:r>
      <w:r w:rsidR="00F93B47">
        <w:rPr>
          <w:sz w:val="24"/>
          <w:szCs w:val="24"/>
        </w:rPr>
        <w:t>21</w:t>
      </w:r>
      <w:r w:rsidRPr="002C3195">
        <w:rPr>
          <w:sz w:val="24"/>
          <w:szCs w:val="24"/>
        </w:rPr>
        <w:t>, “</w:t>
      </w:r>
      <w:bookmarkEnd w:id="0"/>
      <w:r w:rsidR="00D75CFD" w:rsidRPr="00D75CFD">
        <w:rPr>
          <w:bCs/>
          <w:sz w:val="24"/>
          <w:szCs w:val="24"/>
        </w:rPr>
        <w:t xml:space="preserve">LS </w:t>
      </w:r>
      <w:r w:rsidR="00F93B47" w:rsidRPr="00F93B47">
        <w:rPr>
          <w:bCs/>
          <w:sz w:val="24"/>
          <w:szCs w:val="24"/>
          <w:lang w:val="en-US"/>
        </w:rPr>
        <w:t xml:space="preserve">on </w:t>
      </w:r>
      <w:r w:rsidR="00F93B47" w:rsidRPr="00F93B47">
        <w:rPr>
          <w:rFonts w:hint="eastAsia"/>
          <w:bCs/>
          <w:sz w:val="24"/>
          <w:szCs w:val="24"/>
          <w:lang w:val="en-US"/>
        </w:rPr>
        <w:t xml:space="preserve">Layer-1/2/3 ATG UE features and </w:t>
      </w:r>
      <w:proofErr w:type="spellStart"/>
      <w:r w:rsidR="00F93B47" w:rsidRPr="00F93B47">
        <w:rPr>
          <w:rFonts w:hint="eastAsia"/>
          <w:bCs/>
          <w:sz w:val="24"/>
          <w:szCs w:val="24"/>
          <w:lang w:val="en-US"/>
        </w:rPr>
        <w:t>koffset</w:t>
      </w:r>
      <w:proofErr w:type="spellEnd"/>
      <w:r w:rsidR="00F93B47" w:rsidRPr="00F93B47">
        <w:rPr>
          <w:rFonts w:hint="eastAsia"/>
          <w:bCs/>
          <w:sz w:val="24"/>
          <w:szCs w:val="24"/>
          <w:lang w:val="en-US"/>
        </w:rPr>
        <w:t xml:space="preserve"> mechanism</w:t>
      </w:r>
      <w:r w:rsidRPr="002C3195">
        <w:rPr>
          <w:sz w:val="24"/>
          <w:szCs w:val="24"/>
        </w:rPr>
        <w:t xml:space="preserve">,” </w:t>
      </w:r>
      <w:r w:rsidR="00030A2A">
        <w:rPr>
          <w:sz w:val="24"/>
          <w:szCs w:val="24"/>
        </w:rPr>
        <w:t>Feb</w:t>
      </w:r>
      <w:r w:rsidR="00D75CFD">
        <w:rPr>
          <w:sz w:val="24"/>
          <w:szCs w:val="24"/>
        </w:rPr>
        <w:t>.</w:t>
      </w:r>
      <w:r w:rsidR="00857480">
        <w:rPr>
          <w:sz w:val="24"/>
          <w:szCs w:val="24"/>
        </w:rPr>
        <w:t xml:space="preserve"> </w:t>
      </w:r>
      <w:r w:rsidRPr="002C3195">
        <w:rPr>
          <w:sz w:val="24"/>
          <w:szCs w:val="24"/>
        </w:rPr>
        <w:t>202</w:t>
      </w:r>
      <w:r w:rsidR="00030A2A">
        <w:rPr>
          <w:sz w:val="24"/>
          <w:szCs w:val="24"/>
        </w:rPr>
        <w:t>4</w:t>
      </w:r>
      <w:r w:rsidRPr="002C3195">
        <w:rPr>
          <w:sz w:val="24"/>
          <w:szCs w:val="24"/>
        </w:rPr>
        <w:t>.</w:t>
      </w:r>
      <w:bookmarkEnd w:id="1"/>
      <w:r w:rsidRPr="002C3195">
        <w:rPr>
          <w:sz w:val="24"/>
          <w:szCs w:val="24"/>
        </w:rPr>
        <w:t xml:space="preserve"> </w:t>
      </w:r>
      <w:bookmarkEnd w:id="2"/>
      <w:bookmarkEnd w:id="3"/>
    </w:p>
    <w:sectPr w:rsidR="008D5571" w:rsidRPr="00F93B47" w:rsidSect="004A5A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1DD14" w14:textId="77777777" w:rsidR="004A5A91" w:rsidRDefault="004A5A91">
      <w:r>
        <w:separator/>
      </w:r>
    </w:p>
  </w:endnote>
  <w:endnote w:type="continuationSeparator" w:id="0">
    <w:p w14:paraId="6C540DFB" w14:textId="77777777" w:rsidR="004A5A91" w:rsidRDefault="004A5A91">
      <w:r>
        <w:continuationSeparator/>
      </w:r>
    </w:p>
  </w:endnote>
  <w:endnote w:type="continuationNotice" w:id="1">
    <w:p w14:paraId="4C8C7AEC" w14:textId="77777777" w:rsidR="004A5A91" w:rsidRDefault="004A5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7D7EB" w14:textId="77777777" w:rsidR="004A5A91" w:rsidRDefault="004A5A91">
      <w:r>
        <w:separator/>
      </w:r>
    </w:p>
  </w:footnote>
  <w:footnote w:type="continuationSeparator" w:id="0">
    <w:p w14:paraId="408D83CF" w14:textId="77777777" w:rsidR="004A5A91" w:rsidRDefault="004A5A91">
      <w:r>
        <w:continuationSeparator/>
      </w:r>
    </w:p>
  </w:footnote>
  <w:footnote w:type="continuationNotice" w:id="1">
    <w:p w14:paraId="64DF58CD" w14:textId="77777777" w:rsidR="004A5A91" w:rsidRDefault="004A5A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3"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2D3A4C"/>
    <w:multiLevelType w:val="hybridMultilevel"/>
    <w:tmpl w:val="5F581B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D5867"/>
    <w:multiLevelType w:val="hybridMultilevel"/>
    <w:tmpl w:val="66EE5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252C3"/>
    <w:multiLevelType w:val="hybridMultilevel"/>
    <w:tmpl w:val="9F60B0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8E2CD2"/>
    <w:multiLevelType w:val="hybridMultilevel"/>
    <w:tmpl w:val="6AB4DD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3"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3"/>
  </w:num>
  <w:num w:numId="2" w16cid:durableId="1798985130">
    <w:abstractNumId w:val="15"/>
  </w:num>
  <w:num w:numId="3" w16cid:durableId="348140757">
    <w:abstractNumId w:val="3"/>
  </w:num>
  <w:num w:numId="4" w16cid:durableId="271206451">
    <w:abstractNumId w:val="4"/>
  </w:num>
  <w:num w:numId="5" w16cid:durableId="146017652">
    <w:abstractNumId w:val="1"/>
  </w:num>
  <w:num w:numId="6" w16cid:durableId="1650205370">
    <w:abstractNumId w:val="2"/>
  </w:num>
  <w:num w:numId="7" w16cid:durableId="1497720168">
    <w:abstractNumId w:val="21"/>
  </w:num>
  <w:num w:numId="8" w16cid:durableId="138037242">
    <w:abstractNumId w:val="18"/>
  </w:num>
  <w:num w:numId="9" w16cid:durableId="399445388">
    <w:abstractNumId w:val="31"/>
  </w:num>
  <w:num w:numId="10" w16cid:durableId="134227536">
    <w:abstractNumId w:val="6"/>
  </w:num>
  <w:num w:numId="11" w16cid:durableId="2171293">
    <w:abstractNumId w:val="16"/>
  </w:num>
  <w:num w:numId="12" w16cid:durableId="490175065">
    <w:abstractNumId w:val="34"/>
  </w:num>
  <w:num w:numId="13" w16cid:durableId="717704263">
    <w:abstractNumId w:val="9"/>
  </w:num>
  <w:num w:numId="14" w16cid:durableId="419257155">
    <w:abstractNumId w:val="20"/>
  </w:num>
  <w:num w:numId="15" w16cid:durableId="1101293150">
    <w:abstractNumId w:val="32"/>
  </w:num>
  <w:num w:numId="16" w16cid:durableId="929386166">
    <w:abstractNumId w:val="33"/>
  </w:num>
  <w:num w:numId="17" w16cid:durableId="1872182528">
    <w:abstractNumId w:val="5"/>
  </w:num>
  <w:num w:numId="18" w16cid:durableId="1984919666">
    <w:abstractNumId w:val="30"/>
  </w:num>
  <w:num w:numId="19" w16cid:durableId="111436832">
    <w:abstractNumId w:val="35"/>
  </w:num>
  <w:num w:numId="20" w16cid:durableId="614677339">
    <w:abstractNumId w:val="29"/>
  </w:num>
  <w:num w:numId="21" w16cid:durableId="1498497331">
    <w:abstractNumId w:val="19"/>
  </w:num>
  <w:num w:numId="22" w16cid:durableId="2025589711">
    <w:abstractNumId w:val="10"/>
  </w:num>
  <w:num w:numId="23" w16cid:durableId="10917074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4"/>
  </w:num>
  <w:num w:numId="25" w16cid:durableId="88888180">
    <w:abstractNumId w:val="11"/>
  </w:num>
  <w:num w:numId="26" w16cid:durableId="1490945383">
    <w:abstractNumId w:val="28"/>
  </w:num>
  <w:num w:numId="27" w16cid:durableId="90274789">
    <w:abstractNumId w:val="27"/>
  </w:num>
  <w:num w:numId="28" w16cid:durableId="295645217">
    <w:abstractNumId w:val="17"/>
  </w:num>
  <w:num w:numId="29" w16cid:durableId="431437824">
    <w:abstractNumId w:val="7"/>
  </w:num>
  <w:num w:numId="30" w16cid:durableId="1628582815">
    <w:abstractNumId w:val="26"/>
  </w:num>
  <w:num w:numId="31" w16cid:durableId="158624567">
    <w:abstractNumId w:val="8"/>
  </w:num>
  <w:num w:numId="32" w16cid:durableId="502283870">
    <w:abstractNumId w:val="24"/>
  </w:num>
  <w:num w:numId="33" w16cid:durableId="1660768686">
    <w:abstractNumId w:val="25"/>
  </w:num>
  <w:num w:numId="34" w16cid:durableId="3020762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020207627">
    <w:abstractNumId w:val="22"/>
  </w:num>
  <w:num w:numId="36" w16cid:durableId="5516996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37A"/>
    <w:rsid w:val="0003072D"/>
    <w:rsid w:val="00030A2A"/>
    <w:rsid w:val="000314CD"/>
    <w:rsid w:val="0003332B"/>
    <w:rsid w:val="00033544"/>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313"/>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4945"/>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95"/>
    <w:rsid w:val="002C4656"/>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20A"/>
    <w:rsid w:val="004A1D77"/>
    <w:rsid w:val="004A1FE4"/>
    <w:rsid w:val="004A2103"/>
    <w:rsid w:val="004A2CA9"/>
    <w:rsid w:val="004A33EF"/>
    <w:rsid w:val="004A34C9"/>
    <w:rsid w:val="004A3CB5"/>
    <w:rsid w:val="004A4543"/>
    <w:rsid w:val="004A537D"/>
    <w:rsid w:val="004A5A91"/>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21F"/>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4E73"/>
    <w:rsid w:val="0062661B"/>
    <w:rsid w:val="00626779"/>
    <w:rsid w:val="00627832"/>
    <w:rsid w:val="00630118"/>
    <w:rsid w:val="00630514"/>
    <w:rsid w:val="006310AE"/>
    <w:rsid w:val="00631762"/>
    <w:rsid w:val="00631ED3"/>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AA6"/>
    <w:rsid w:val="0071705B"/>
    <w:rsid w:val="00720505"/>
    <w:rsid w:val="0072232D"/>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178D"/>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92A"/>
    <w:rsid w:val="008D4B58"/>
    <w:rsid w:val="008D4B7F"/>
    <w:rsid w:val="008D4B8A"/>
    <w:rsid w:val="008D546C"/>
    <w:rsid w:val="008D5571"/>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5114"/>
    <w:rsid w:val="00AD5A99"/>
    <w:rsid w:val="00AD69FF"/>
    <w:rsid w:val="00AD702B"/>
    <w:rsid w:val="00AD72E6"/>
    <w:rsid w:val="00AD7C95"/>
    <w:rsid w:val="00AD7FCD"/>
    <w:rsid w:val="00AE2BED"/>
    <w:rsid w:val="00AE3DE1"/>
    <w:rsid w:val="00AE5439"/>
    <w:rsid w:val="00AE572C"/>
    <w:rsid w:val="00AE61B2"/>
    <w:rsid w:val="00AE78D1"/>
    <w:rsid w:val="00AE7F89"/>
    <w:rsid w:val="00AF2D54"/>
    <w:rsid w:val="00AF3009"/>
    <w:rsid w:val="00AF3458"/>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C26"/>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A3F"/>
    <w:rsid w:val="00D57AF0"/>
    <w:rsid w:val="00D61815"/>
    <w:rsid w:val="00D61DBB"/>
    <w:rsid w:val="00D627E3"/>
    <w:rsid w:val="00D62ECD"/>
    <w:rsid w:val="00D64426"/>
    <w:rsid w:val="00D64475"/>
    <w:rsid w:val="00D64D37"/>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36D"/>
    <w:rsid w:val="00F841FB"/>
    <w:rsid w:val="00F84421"/>
    <w:rsid w:val="00F8449B"/>
    <w:rsid w:val="00F84B44"/>
    <w:rsid w:val="00F85691"/>
    <w:rsid w:val="00F87032"/>
    <w:rsid w:val="00F87094"/>
    <w:rsid w:val="00F87AB3"/>
    <w:rsid w:val="00F87BA6"/>
    <w:rsid w:val="00F913DC"/>
    <w:rsid w:val="00F91DDA"/>
    <w:rsid w:val="00F9397A"/>
    <w:rsid w:val="00F93A37"/>
    <w:rsid w:val="00F93B4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 w:type="character" w:customStyle="1" w:styleId="TALChar">
    <w:name w:val="TAL Char"/>
    <w:link w:val="TAL"/>
    <w:qFormat/>
    <w:rsid w:val="000E494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5</Pages>
  <Words>1094</Words>
  <Characters>6237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2024-02-16T17:18:00Z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